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0"/>
        </w:rPr>
        <w:t>Plan mínimo de validación funcional en línea AtT-20</w:t>
      </w:r>
    </w:p>
    <w:p>
      <w:pPr>
        <w:jc w:val="center"/>
      </w:pPr>
      <w:r>
        <w:rPr>
          <w:i/>
          <w:color w:val="505050"/>
          <w:sz w:val="24"/>
        </w:rPr>
        <w:t>Proyecto: mecanismos de silenciamiento en tumores de estirpe corticotropa</w:t>
      </w:r>
    </w:p>
    <w:p>
      <w:pPr>
        <w:jc w:val="center"/>
      </w:pPr>
      <w:r>
        <w:rPr>
          <w:b/>
          <w:sz w:val="22"/>
        </w:rPr>
        <w:t>Borrador operativo para discusión con colaboradores</w:t>
      </w:r>
    </w:p>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Decisión estratégica para esta fase</w:t>
            </w:r>
          </w:p>
        </w:tc>
      </w:tr>
      <w:tr>
        <w:tc>
          <w:tcPr>
            <w:tcW w:type="dxa" w:w="10166"/>
            <w:vAlign w:val="center"/>
            <w:shd w:fill="EAF3F8"/>
          </w:tcPr>
          <w:p>
            <w:r/>
            <w:r>
              <w:rPr>
                <w:b w:val="0"/>
              </w:rPr>
              <w:t>No se intentará validar todo el panel molecular. Dado que ya se han completado transcriptómica, western blot y estudio de miRNAs, y que no se han conseguido cultivos primarios viables de tumores corticotropos silentes, la validación funcional se concentrará en un modelo AtT-20 y en dos mecanismos causales prioritarios: (1) freno glucocorticoideo mediado por NR3C1/GR y (2) fallo de procesamiento hormonal mediado por PCSK1.</w:t>
            </w:r>
          </w:p>
        </w:tc>
      </w:tr>
    </w:tbl>
    <w:p/>
    <w:p>
      <w:pPr>
        <w:pStyle w:val="Heading1"/>
      </w:pPr>
      <w:r>
        <w:t>1. Resumen ejecutivo</w:t>
      </w:r>
    </w:p>
    <w:p>
      <w:r>
        <w:t>El objetivo de esta fase no es reproducir toda la biología del tumor silente, sino demostrar de forma funcional, con un número limitado de cultivos, que una célula corticotropa puede desplazarse hacia un estado "silente-like": mantiene rasgos de estirpe corticotropa, pero reduce la salida final de ACTH.</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936"/>
            <w:vAlign w:val="center"/>
            <w:shd w:fill="1F4E79"/>
          </w:tcPr>
          <w:p>
            <w:r/>
            <w:r>
              <w:rPr>
                <w:b/>
                <w:color w:val="FFFFFF"/>
              </w:rPr>
              <w:t>Prioridad</w:t>
            </w:r>
          </w:p>
        </w:tc>
        <w:tc>
          <w:tcPr>
            <w:tcW w:type="dxa" w:w="2376"/>
            <w:vAlign w:val="center"/>
            <w:shd w:fill="1F4E79"/>
          </w:tcPr>
          <w:p>
            <w:r/>
            <w:r>
              <w:rPr>
                <w:b/>
                <w:color w:val="FFFFFF"/>
              </w:rPr>
              <w:t>Experimento</w:t>
            </w:r>
          </w:p>
        </w:tc>
        <w:tc>
          <w:tcPr>
            <w:tcW w:type="dxa" w:w="3600"/>
            <w:vAlign w:val="center"/>
            <w:shd w:fill="1F4E79"/>
          </w:tcPr>
          <w:p>
            <w:r/>
            <w:r>
              <w:rPr>
                <w:b/>
                <w:color w:val="FFFFFF"/>
              </w:rPr>
              <w:t>Pregunta que responde</w:t>
            </w:r>
          </w:p>
        </w:tc>
        <w:tc>
          <w:tcPr>
            <w:tcW w:type="dxa" w:w="3672"/>
            <w:vAlign w:val="center"/>
            <w:shd w:fill="1F4E79"/>
          </w:tcPr>
          <w:p>
            <w:r/>
            <w:r>
              <w:rPr>
                <w:b/>
                <w:color w:val="FFFFFF"/>
              </w:rPr>
              <w:t>Resultado útil para la memoria</w:t>
            </w:r>
          </w:p>
        </w:tc>
      </w:tr>
      <w:tr>
        <w:trPr>
          <w:cantSplit/>
        </w:trPr>
        <w:tc>
          <w:tcPr>
            <w:tcW w:type="dxa" w:w="936"/>
            <w:vAlign w:val="center"/>
            <w:shd w:fill="D9EAF7"/>
          </w:tcPr>
          <w:p>
            <w:r/>
            <w:r>
              <w:rPr>
                <w:b w:val="0"/>
              </w:rPr>
              <w:t>1</w:t>
            </w:r>
          </w:p>
        </w:tc>
        <w:tc>
          <w:tcPr>
            <w:tcW w:type="dxa" w:w="2376"/>
            <w:vAlign w:val="center"/>
          </w:tcPr>
          <w:p>
            <w:r/>
            <w:r>
              <w:rPr>
                <w:b w:val="0"/>
              </w:rPr>
              <w:t>Caracterización basal de AtT-20 por pase</w:t>
            </w:r>
          </w:p>
        </w:tc>
        <w:tc>
          <w:tcPr>
            <w:tcW w:type="dxa" w:w="3600"/>
            <w:vAlign w:val="center"/>
          </w:tcPr>
          <w:p>
            <w:r/>
            <w:r>
              <w:rPr>
                <w:b w:val="0"/>
              </w:rPr>
              <w:t>¿La línea es estable o existe deriva basal que pueda confundir la interpretación?</w:t>
            </w:r>
          </w:p>
        </w:tc>
        <w:tc>
          <w:tcPr>
            <w:tcW w:type="dxa" w:w="3672"/>
            <w:vAlign w:val="center"/>
          </w:tcPr>
          <w:p>
            <w:r/>
            <w:r>
              <w:rPr>
                <w:b w:val="0"/>
              </w:rPr>
              <w:t>Justifica el rango de pase y la validez del modelo.</w:t>
            </w:r>
          </w:p>
        </w:tc>
      </w:tr>
      <w:tr>
        <w:trPr>
          <w:cantSplit/>
        </w:trPr>
        <w:tc>
          <w:tcPr>
            <w:tcW w:type="dxa" w:w="936"/>
            <w:vAlign w:val="center"/>
            <w:shd w:fill="D9EAF7"/>
          </w:tcPr>
          <w:p>
            <w:r/>
            <w:r>
              <w:rPr>
                <w:b w:val="0"/>
              </w:rPr>
              <w:t>2</w:t>
            </w:r>
          </w:p>
        </w:tc>
        <w:tc>
          <w:tcPr>
            <w:tcW w:type="dxa" w:w="2376"/>
            <w:vAlign w:val="center"/>
          </w:tcPr>
          <w:p>
            <w:r/>
            <w:r>
              <w:rPr>
                <w:b w:val="0"/>
              </w:rPr>
              <w:t>Respuesta CRH / dexametasona</w:t>
            </w:r>
          </w:p>
        </w:tc>
        <w:tc>
          <w:tcPr>
            <w:tcW w:type="dxa" w:w="3600"/>
            <w:vAlign w:val="center"/>
          </w:tcPr>
          <w:p>
            <w:r/>
            <w:r>
              <w:rPr>
                <w:b w:val="0"/>
              </w:rPr>
              <w:t>¿La línea responde al estímulo corticotropo y al freno glucocorticoideo?</w:t>
            </w:r>
          </w:p>
        </w:tc>
        <w:tc>
          <w:tcPr>
            <w:tcW w:type="dxa" w:w="3672"/>
            <w:vAlign w:val="center"/>
          </w:tcPr>
          <w:p>
            <w:r/>
            <w:r>
              <w:rPr>
                <w:b w:val="0"/>
              </w:rPr>
              <w:t>Valida funcionalmente el eje CRH-CRHR1-POMC-ACTH y el eje GR-FKBP5.</w:t>
            </w:r>
          </w:p>
        </w:tc>
      </w:tr>
      <w:tr>
        <w:trPr>
          <w:cantSplit/>
        </w:trPr>
        <w:tc>
          <w:tcPr>
            <w:tcW w:type="dxa" w:w="936"/>
            <w:vAlign w:val="center"/>
            <w:shd w:fill="D9EAF7"/>
          </w:tcPr>
          <w:p>
            <w:r/>
            <w:r>
              <w:rPr>
                <w:b w:val="0"/>
              </w:rPr>
              <w:t>3</w:t>
            </w:r>
          </w:p>
        </w:tc>
        <w:tc>
          <w:tcPr>
            <w:tcW w:type="dxa" w:w="2376"/>
            <w:vAlign w:val="center"/>
          </w:tcPr>
          <w:p>
            <w:r/>
            <w:r>
              <w:rPr>
                <w:b w:val="0"/>
              </w:rPr>
              <w:t>siNR3C1 +/- dexametasona</w:t>
            </w:r>
          </w:p>
        </w:tc>
        <w:tc>
          <w:tcPr>
            <w:tcW w:type="dxa" w:w="3600"/>
            <w:vAlign w:val="center"/>
          </w:tcPr>
          <w:p>
            <w:r/>
            <w:r>
              <w:rPr>
                <w:b w:val="0"/>
              </w:rPr>
              <w:t>¿El receptor de glucocorticoides es necesario para la represión hormonal?</w:t>
            </w:r>
          </w:p>
        </w:tc>
        <w:tc>
          <w:tcPr>
            <w:tcW w:type="dxa" w:w="3672"/>
            <w:vAlign w:val="center"/>
          </w:tcPr>
          <w:p>
            <w:r/>
            <w:r>
              <w:rPr>
                <w:b w:val="0"/>
              </w:rPr>
              <w:t>Permite demostrar causalidad del freno glucocorticoideo.</w:t>
            </w:r>
          </w:p>
        </w:tc>
      </w:tr>
      <w:tr>
        <w:trPr>
          <w:cantSplit/>
        </w:trPr>
        <w:tc>
          <w:tcPr>
            <w:tcW w:type="dxa" w:w="936"/>
            <w:vAlign w:val="center"/>
            <w:shd w:fill="D9EAF7"/>
          </w:tcPr>
          <w:p>
            <w:r/>
            <w:r>
              <w:rPr>
                <w:b w:val="0"/>
              </w:rPr>
              <w:t>4</w:t>
            </w:r>
          </w:p>
        </w:tc>
        <w:tc>
          <w:tcPr>
            <w:tcW w:type="dxa" w:w="2376"/>
            <w:vAlign w:val="center"/>
          </w:tcPr>
          <w:p>
            <w:r/>
            <w:r>
              <w:rPr>
                <w:b w:val="0"/>
              </w:rPr>
              <w:t>siPCSK1 +/- CRH</w:t>
            </w:r>
          </w:p>
        </w:tc>
        <w:tc>
          <w:tcPr>
            <w:tcW w:type="dxa" w:w="3600"/>
            <w:vAlign w:val="center"/>
          </w:tcPr>
          <w:p>
            <w:r/>
            <w:r>
              <w:rPr>
                <w:b w:val="0"/>
              </w:rPr>
              <w:t>¿La reducción de PCSK1 reduce ACTH sin abolir POMC?</w:t>
            </w:r>
          </w:p>
        </w:tc>
        <w:tc>
          <w:tcPr>
            <w:tcW w:type="dxa" w:w="3672"/>
            <w:vAlign w:val="center"/>
          </w:tcPr>
          <w:p>
            <w:r/>
            <w:r>
              <w:rPr>
                <w:b w:val="0"/>
              </w:rPr>
              <w:t>Permite demostrar un defecto de procesamiento POMC -&gt; ACTH.</w:t>
            </w:r>
          </w:p>
        </w:tc>
      </w:tr>
    </w:tbl>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Mensaje central para la reunión</w:t>
            </w:r>
          </w:p>
        </w:tc>
      </w:tr>
      <w:tr>
        <w:tc>
          <w:tcPr>
            <w:tcW w:type="dxa" w:w="10166"/>
            <w:vAlign w:val="center"/>
            <w:shd w:fill="FFF2CC"/>
          </w:tcPr>
          <w:p>
            <w:r/>
            <w:r>
              <w:rPr>
                <w:b w:val="0"/>
              </w:rPr>
              <w:t>La propuesta queda deliberadamente reducida a los ensayos imprescindibles. CABLES1, miRNAs funcionales, TBX19, POMC, PCSK2, SSTR3/SSTR5, AVPR1B y CRHR1 por manipulación genética quedan fuera del núcleo mínimo. Pueden citarse como extensiones futuras, pero no deben bloquear la validación funcional principal.</w:t>
            </w:r>
          </w:p>
        </w:tc>
      </w:tr>
    </w:tbl>
    <w:p/>
    <w:p>
      <w:pPr>
        <w:pStyle w:val="Heading1"/>
      </w:pPr>
      <w:r>
        <w:t>2. Hipótesis funcional</w:t>
      </w:r>
    </w:p>
    <w:p>
      <w:r>
        <w:t>Los datos integrados de transcriptómica, western blot y miRNAs sugieren que los tumores corticotropos silentes no son simplemente células que han perdido identidad corticotropa. El modelo de trabajo es más específico: existe un desacoplamiento entre identidad de linaje, señalización upstream y salida hormonal final.</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2088"/>
            <w:vAlign w:val="center"/>
            <w:shd w:fill="1F4E79"/>
          </w:tcPr>
          <w:p>
            <w:r/>
            <w:r>
              <w:rPr>
                <w:b/>
                <w:color w:val="FFFFFF"/>
              </w:rPr>
              <w:t>Nivel biológico</w:t>
            </w:r>
          </w:p>
        </w:tc>
        <w:tc>
          <w:tcPr>
            <w:tcW w:type="dxa" w:w="3888"/>
            <w:vAlign w:val="center"/>
            <w:shd w:fill="1F4E79"/>
          </w:tcPr>
          <w:p>
            <w:r/>
            <w:r>
              <w:rPr>
                <w:b/>
                <w:color w:val="FFFFFF"/>
              </w:rPr>
              <w:t>Fenotipo funcionante tipo Cushing</w:t>
            </w:r>
          </w:p>
        </w:tc>
        <w:tc>
          <w:tcPr>
            <w:tcW w:type="dxa" w:w="4608"/>
            <w:vAlign w:val="center"/>
            <w:shd w:fill="1F4E79"/>
          </w:tcPr>
          <w:p>
            <w:r/>
            <w:r>
              <w:rPr>
                <w:b/>
                <w:color w:val="FFFFFF"/>
              </w:rPr>
              <w:t>Fenotipo silente-like que queremos modelar en AtT-20</w:t>
            </w:r>
          </w:p>
        </w:tc>
      </w:tr>
      <w:tr>
        <w:trPr>
          <w:cantSplit/>
        </w:trPr>
        <w:tc>
          <w:tcPr>
            <w:tcW w:type="dxa" w:w="2088"/>
            <w:vAlign w:val="center"/>
            <w:shd w:fill="D9EAF7"/>
          </w:tcPr>
          <w:p>
            <w:r/>
            <w:r>
              <w:rPr>
                <w:b w:val="0"/>
              </w:rPr>
              <w:t>Entrada upstream</w:t>
            </w:r>
          </w:p>
        </w:tc>
        <w:tc>
          <w:tcPr>
            <w:tcW w:type="dxa" w:w="3888"/>
            <w:vAlign w:val="center"/>
          </w:tcPr>
          <w:p>
            <w:r/>
            <w:r>
              <w:rPr>
                <w:b w:val="0"/>
              </w:rPr>
              <w:t>Respuesta a CRH/CRHR1 y posiblemente AVP/AVPR1B</w:t>
            </w:r>
          </w:p>
        </w:tc>
        <w:tc>
          <w:tcPr>
            <w:tcW w:type="dxa" w:w="4608"/>
            <w:vAlign w:val="center"/>
          </w:tcPr>
          <w:p>
            <w:r/>
            <w:r>
              <w:rPr>
                <w:b w:val="0"/>
              </w:rPr>
              <w:t>La señal puede estar conservada, pero no necesariamente se traduce en ACTH efectiva.</w:t>
            </w:r>
          </w:p>
        </w:tc>
      </w:tr>
      <w:tr>
        <w:trPr>
          <w:cantSplit/>
        </w:trPr>
        <w:tc>
          <w:tcPr>
            <w:tcW w:type="dxa" w:w="2088"/>
            <w:vAlign w:val="center"/>
            <w:shd w:fill="D9EAF7"/>
          </w:tcPr>
          <w:p>
            <w:r/>
            <w:r>
              <w:rPr>
                <w:b w:val="0"/>
              </w:rPr>
              <w:t>Programa corticotropo</w:t>
            </w:r>
          </w:p>
        </w:tc>
        <w:tc>
          <w:tcPr>
            <w:tcW w:type="dxa" w:w="3888"/>
            <w:vAlign w:val="center"/>
          </w:tcPr>
          <w:p>
            <w:r/>
            <w:r>
              <w:rPr>
                <w:b w:val="0"/>
              </w:rPr>
              <w:t>POMC y maquinaria funcional activas</w:t>
            </w:r>
          </w:p>
        </w:tc>
        <w:tc>
          <w:tcPr>
            <w:tcW w:type="dxa" w:w="4608"/>
            <w:vAlign w:val="center"/>
          </w:tcPr>
          <w:p>
            <w:r/>
            <w:r>
              <w:rPr>
                <w:b w:val="0"/>
              </w:rPr>
              <w:t>POMC puede mantenerse parcial o relativamente conservado.</w:t>
            </w:r>
          </w:p>
        </w:tc>
      </w:tr>
      <w:tr>
        <w:trPr>
          <w:cantSplit/>
        </w:trPr>
        <w:tc>
          <w:tcPr>
            <w:tcW w:type="dxa" w:w="2088"/>
            <w:vAlign w:val="center"/>
            <w:shd w:fill="D9EAF7"/>
          </w:tcPr>
          <w:p>
            <w:r/>
            <w:r>
              <w:rPr>
                <w:b w:val="0"/>
              </w:rPr>
              <w:t>Freno glucocorticoideo</w:t>
            </w:r>
          </w:p>
        </w:tc>
        <w:tc>
          <w:tcPr>
            <w:tcW w:type="dxa" w:w="3888"/>
            <w:vAlign w:val="center"/>
          </w:tcPr>
          <w:p>
            <w:r/>
            <w:r>
              <w:rPr>
                <w:b w:val="0"/>
              </w:rPr>
              <w:t>Feedback menos dominante</w:t>
            </w:r>
          </w:p>
        </w:tc>
        <w:tc>
          <w:tcPr>
            <w:tcW w:type="dxa" w:w="4608"/>
            <w:vAlign w:val="center"/>
          </w:tcPr>
          <w:p>
            <w:r/>
            <w:r>
              <w:rPr>
                <w:b w:val="0"/>
              </w:rPr>
              <w:t>Mayor sensibilidad al freno GR/NR3C1, monitorizada por FKBP5.</w:t>
            </w:r>
          </w:p>
        </w:tc>
      </w:tr>
      <w:tr>
        <w:trPr>
          <w:cantSplit/>
        </w:trPr>
        <w:tc>
          <w:tcPr>
            <w:tcW w:type="dxa" w:w="2088"/>
            <w:vAlign w:val="center"/>
            <w:shd w:fill="D9EAF7"/>
          </w:tcPr>
          <w:p>
            <w:r/>
            <w:r>
              <w:rPr>
                <w:b w:val="0"/>
              </w:rPr>
              <w:t>Procesamiento hormonal</w:t>
            </w:r>
          </w:p>
        </w:tc>
        <w:tc>
          <w:tcPr>
            <w:tcW w:type="dxa" w:w="3888"/>
            <w:vAlign w:val="center"/>
          </w:tcPr>
          <w:p>
            <w:r/>
            <w:r>
              <w:rPr>
                <w:b w:val="0"/>
              </w:rPr>
              <w:t>PCSK1 suficiente para generar ACTH</w:t>
            </w:r>
          </w:p>
        </w:tc>
        <w:tc>
          <w:tcPr>
            <w:tcW w:type="dxa" w:w="4608"/>
            <w:vAlign w:val="center"/>
          </w:tcPr>
          <w:p>
            <w:r/>
            <w:r>
              <w:rPr>
                <w:b w:val="0"/>
              </w:rPr>
              <w:t>Menor PCSK1 o menor eficiencia POMC -&gt; ACTH.</w:t>
            </w:r>
          </w:p>
        </w:tc>
      </w:tr>
      <w:tr>
        <w:trPr>
          <w:cantSplit/>
        </w:trPr>
        <w:tc>
          <w:tcPr>
            <w:tcW w:type="dxa" w:w="2088"/>
            <w:vAlign w:val="center"/>
            <w:shd w:fill="D9EAF7"/>
          </w:tcPr>
          <w:p>
            <w:r/>
            <w:r>
              <w:rPr>
                <w:b w:val="0"/>
              </w:rPr>
              <w:t>Salida funcional</w:t>
            </w:r>
          </w:p>
        </w:tc>
        <w:tc>
          <w:tcPr>
            <w:tcW w:type="dxa" w:w="3888"/>
            <w:vAlign w:val="center"/>
          </w:tcPr>
          <w:p>
            <w:r/>
            <w:r>
              <w:rPr>
                <w:b w:val="0"/>
              </w:rPr>
              <w:t>ACTH elevada o aumentable por estímulo</w:t>
            </w:r>
          </w:p>
        </w:tc>
        <w:tc>
          <w:tcPr>
            <w:tcW w:type="dxa" w:w="4608"/>
            <w:vAlign w:val="center"/>
          </w:tcPr>
          <w:p>
            <w:r/>
            <w:r>
              <w:rPr>
                <w:b w:val="0"/>
              </w:rPr>
              <w:t>ACTH baja o pobremente inducible.</w:t>
            </w:r>
          </w:p>
        </w:tc>
      </w:tr>
    </w:tbl>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Formulación breve de la hipótesis</w:t>
            </w:r>
          </w:p>
        </w:tc>
      </w:tr>
      <w:tr>
        <w:tc>
          <w:tcPr>
            <w:tcW w:type="dxa" w:w="10166"/>
            <w:vAlign w:val="center"/>
            <w:shd w:fill="E2F0D9"/>
          </w:tcPr>
          <w:p>
            <w:r/>
            <w:r>
              <w:rPr>
                <w:b w:val="0"/>
              </w:rPr>
              <w:t>En AtT-20 se intentará inducir o demostrar un estado funcionalmente reprimido mediante dos vías complementarias: aumento del freno glucocorticoideo y disminución del procesamiento de POMC. La variable funcional principal será ACTH en sobrenadante, siempre normalizada por número celular, proteína total o viabilidad.</w:t>
            </w:r>
          </w:p>
        </w:tc>
      </w:tr>
    </w:tbl>
    <w:p/>
    <w:p>
      <w:pPr>
        <w:pStyle w:val="Heading1"/>
      </w:pPr>
      <w:r>
        <w:t>3. Alcance: qué se hará y qué no se hará</w:t>
      </w:r>
    </w:p>
    <w:p>
      <w:pPr>
        <w:pStyle w:val="Heading2"/>
      </w:pPr>
      <w:r>
        <w:t>3.1. Ensayos incluidos en el paquete mínimo</w:t>
      </w:r>
    </w:p>
    <w:p>
      <w:pPr>
        <w:ind w:left="360" w:hanging="360"/>
      </w:pPr>
      <w:r>
        <w:rPr>
          <w:rFonts w:ascii="Arial" w:hAnsi="Arial"/>
          <w:sz w:val="20"/>
        </w:rPr>
        <w:t>1.   Caracterización basal de AtT-20 en un rango limitado de pases.</w:t>
      </w:r>
    </w:p>
    <w:p>
      <w:pPr>
        <w:ind w:left="360" w:hanging="360"/>
      </w:pPr>
      <w:r>
        <w:rPr>
          <w:rFonts w:ascii="Arial" w:hAnsi="Arial"/>
          <w:sz w:val="20"/>
        </w:rPr>
        <w:t>2.   Validación farmacológica con CRH y dexametasona.</w:t>
      </w:r>
    </w:p>
    <w:p>
      <w:pPr>
        <w:ind w:left="360" w:hanging="360"/>
      </w:pPr>
      <w:r>
        <w:rPr>
          <w:rFonts w:ascii="Arial" w:hAnsi="Arial"/>
          <w:sz w:val="20"/>
        </w:rPr>
        <w:t>3.   Infraexpresión transitoria de NR3C1 mediante siRNA, con y sin dexametasona.</w:t>
      </w:r>
    </w:p>
    <w:p>
      <w:pPr>
        <w:ind w:left="360" w:hanging="360"/>
      </w:pPr>
      <w:r>
        <w:rPr>
          <w:rFonts w:ascii="Arial" w:hAnsi="Arial"/>
          <w:sz w:val="20"/>
        </w:rPr>
        <w:t>4.   Infraexpresión transitoria de PCSK1 mediante siRNA, con y sin CRH.</w:t>
      </w:r>
    </w:p>
    <w:p>
      <w:pPr>
        <w:pStyle w:val="Heading2"/>
      </w:pPr>
      <w:r>
        <w:t>3.2. Ensayos excluidos del núcleo mínimo</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2160"/>
            <w:vAlign w:val="center"/>
            <w:shd w:fill="1F4E79"/>
          </w:tcPr>
          <w:p>
            <w:r/>
            <w:r>
              <w:rPr>
                <w:b/>
                <w:color w:val="FFFFFF"/>
              </w:rPr>
              <w:t>Ensayo</w:t>
            </w:r>
          </w:p>
        </w:tc>
        <w:tc>
          <w:tcPr>
            <w:tcW w:type="dxa" w:w="1872"/>
            <w:vAlign w:val="center"/>
            <w:shd w:fill="1F4E79"/>
          </w:tcPr>
          <w:p>
            <w:r/>
            <w:r>
              <w:rPr>
                <w:b/>
                <w:color w:val="FFFFFF"/>
              </w:rPr>
              <w:t>Decisión</w:t>
            </w:r>
          </w:p>
        </w:tc>
        <w:tc>
          <w:tcPr>
            <w:tcW w:type="dxa" w:w="6480"/>
            <w:vAlign w:val="center"/>
            <w:shd w:fill="1F4E79"/>
          </w:tcPr>
          <w:p>
            <w:r/>
            <w:r>
              <w:rPr>
                <w:b/>
                <w:color w:val="FFFFFF"/>
              </w:rPr>
              <w:t>Justificación</w:t>
            </w:r>
          </w:p>
        </w:tc>
      </w:tr>
      <w:tr>
        <w:trPr>
          <w:cantSplit/>
        </w:trPr>
        <w:tc>
          <w:tcPr>
            <w:tcW w:type="dxa" w:w="2160"/>
            <w:vAlign w:val="center"/>
            <w:shd w:fill="D9EAF7"/>
          </w:tcPr>
          <w:p>
            <w:r/>
            <w:r>
              <w:rPr>
                <w:b w:val="0"/>
              </w:rPr>
              <w:t>CABLES1</w:t>
            </w:r>
          </w:p>
        </w:tc>
        <w:tc>
          <w:tcPr>
            <w:tcW w:type="dxa" w:w="1872"/>
            <w:vAlign w:val="center"/>
          </w:tcPr>
          <w:p>
            <w:r/>
            <w:r>
              <w:rPr>
                <w:b w:val="0"/>
              </w:rPr>
              <w:t>No realizar ahora</w:t>
            </w:r>
          </w:p>
        </w:tc>
        <w:tc>
          <w:tcPr>
            <w:tcW w:type="dxa" w:w="6480"/>
            <w:vAlign w:val="center"/>
          </w:tcPr>
          <w:p>
            <w:r/>
            <w:r>
              <w:rPr>
                <w:b w:val="0"/>
              </w:rPr>
              <w:t>Interesante para agresividad/migración, pero no imprescindible para demostrar silenciamiento hormonal. Puede quedar como futuro módulo de comportamiento tumoral.</w:t>
            </w:r>
          </w:p>
        </w:tc>
      </w:tr>
      <w:tr>
        <w:trPr>
          <w:cantSplit/>
        </w:trPr>
        <w:tc>
          <w:tcPr>
            <w:tcW w:type="dxa" w:w="2160"/>
            <w:vAlign w:val="center"/>
            <w:shd w:fill="D9EAF7"/>
          </w:tcPr>
          <w:p>
            <w:r/>
            <w:r>
              <w:rPr>
                <w:b w:val="0"/>
              </w:rPr>
              <w:t>miRNA mimics/inhibitors</w:t>
            </w:r>
          </w:p>
        </w:tc>
        <w:tc>
          <w:tcPr>
            <w:tcW w:type="dxa" w:w="1872"/>
            <w:vAlign w:val="center"/>
          </w:tcPr>
          <w:p>
            <w:r/>
            <w:r>
              <w:rPr>
                <w:b w:val="0"/>
              </w:rPr>
              <w:t>No realizar ahora</w:t>
            </w:r>
          </w:p>
        </w:tc>
        <w:tc>
          <w:tcPr>
            <w:tcW w:type="dxa" w:w="6480"/>
            <w:vAlign w:val="center"/>
          </w:tcPr>
          <w:p>
            <w:r/>
            <w:r>
              <w:rPr>
                <w:b w:val="0"/>
              </w:rPr>
              <w:t>Aportan una capa reguladora, pero requieren optimización y pueden generar resultados difíciles de interpretar con poco tiempo.</w:t>
            </w:r>
          </w:p>
        </w:tc>
      </w:tr>
      <w:tr>
        <w:trPr>
          <w:cantSplit/>
        </w:trPr>
        <w:tc>
          <w:tcPr>
            <w:tcW w:type="dxa" w:w="2160"/>
            <w:vAlign w:val="center"/>
            <w:shd w:fill="D9EAF7"/>
          </w:tcPr>
          <w:p>
            <w:r/>
            <w:r>
              <w:rPr>
                <w:b w:val="0"/>
              </w:rPr>
              <w:t>TBX19</w:t>
            </w:r>
          </w:p>
        </w:tc>
        <w:tc>
          <w:tcPr>
            <w:tcW w:type="dxa" w:w="1872"/>
            <w:vAlign w:val="center"/>
          </w:tcPr>
          <w:p>
            <w:r/>
            <w:r>
              <w:rPr>
                <w:b w:val="0"/>
              </w:rPr>
              <w:t>No manipular</w:t>
            </w:r>
          </w:p>
        </w:tc>
        <w:tc>
          <w:tcPr>
            <w:tcW w:type="dxa" w:w="6480"/>
            <w:vAlign w:val="center"/>
          </w:tcPr>
          <w:p>
            <w:r/>
            <w:r>
              <w:rPr>
                <w:b w:val="0"/>
              </w:rPr>
              <w:t>Se mantiene como lectura opcional de identidad corticotropa. Manipularlo desviaría el foco hacia identidad de linaje más que hacia silenciamiento funcional.</w:t>
            </w:r>
          </w:p>
        </w:tc>
      </w:tr>
      <w:tr>
        <w:trPr>
          <w:cantSplit/>
        </w:trPr>
        <w:tc>
          <w:tcPr>
            <w:tcW w:type="dxa" w:w="2160"/>
            <w:vAlign w:val="center"/>
            <w:shd w:fill="D9EAF7"/>
          </w:tcPr>
          <w:p>
            <w:r/>
            <w:r>
              <w:rPr>
                <w:b w:val="0"/>
              </w:rPr>
              <w:t>POMC</w:t>
            </w:r>
          </w:p>
        </w:tc>
        <w:tc>
          <w:tcPr>
            <w:tcW w:type="dxa" w:w="1872"/>
            <w:vAlign w:val="center"/>
          </w:tcPr>
          <w:p>
            <w:r/>
            <w:r>
              <w:rPr>
                <w:b w:val="0"/>
              </w:rPr>
              <w:t>No manipular</w:t>
            </w:r>
          </w:p>
        </w:tc>
        <w:tc>
          <w:tcPr>
            <w:tcW w:type="dxa" w:w="6480"/>
            <w:vAlign w:val="center"/>
          </w:tcPr>
          <w:p>
            <w:r/>
            <w:r>
              <w:rPr>
                <w:b w:val="0"/>
              </w:rPr>
              <w:t>Silenciar POMC bajaría ACTH de forma esperable, pero aporta menos mecanismo que PCSK1.</w:t>
            </w:r>
          </w:p>
        </w:tc>
      </w:tr>
      <w:tr>
        <w:trPr>
          <w:cantSplit/>
        </w:trPr>
        <w:tc>
          <w:tcPr>
            <w:tcW w:type="dxa" w:w="2160"/>
            <w:vAlign w:val="center"/>
            <w:shd w:fill="D9EAF7"/>
          </w:tcPr>
          <w:p>
            <w:r/>
            <w:r>
              <w:rPr>
                <w:b w:val="0"/>
              </w:rPr>
              <w:t>PCSK2</w:t>
            </w:r>
          </w:p>
        </w:tc>
        <w:tc>
          <w:tcPr>
            <w:tcW w:type="dxa" w:w="1872"/>
            <w:vAlign w:val="center"/>
          </w:tcPr>
          <w:p>
            <w:r/>
            <w:r>
              <w:rPr>
                <w:b w:val="0"/>
              </w:rPr>
              <w:t>No realizar ahora</w:t>
            </w:r>
          </w:p>
        </w:tc>
        <w:tc>
          <w:tcPr>
            <w:tcW w:type="dxa" w:w="6480"/>
            <w:vAlign w:val="center"/>
          </w:tcPr>
          <w:p>
            <w:r/>
            <w:r>
              <w:rPr>
                <w:b w:val="0"/>
              </w:rPr>
              <w:t>Menor prioridad y menor valor causal respecto a PCSK1.</w:t>
            </w:r>
          </w:p>
        </w:tc>
      </w:tr>
      <w:tr>
        <w:trPr>
          <w:cantSplit/>
        </w:trPr>
        <w:tc>
          <w:tcPr>
            <w:tcW w:type="dxa" w:w="2160"/>
            <w:vAlign w:val="center"/>
            <w:shd w:fill="D9EAF7"/>
          </w:tcPr>
          <w:p>
            <w:r/>
            <w:r>
              <w:rPr>
                <w:b w:val="0"/>
              </w:rPr>
              <w:t>CRHR1/AVPR1B por siRNA u OE</w:t>
            </w:r>
          </w:p>
        </w:tc>
        <w:tc>
          <w:tcPr>
            <w:tcW w:type="dxa" w:w="1872"/>
            <w:vAlign w:val="center"/>
          </w:tcPr>
          <w:p>
            <w:r/>
            <w:r>
              <w:rPr>
                <w:b w:val="0"/>
              </w:rPr>
              <w:t>No realizar ahora</w:t>
            </w:r>
          </w:p>
        </w:tc>
        <w:tc>
          <w:tcPr>
            <w:tcW w:type="dxa" w:w="6480"/>
            <w:vAlign w:val="center"/>
          </w:tcPr>
          <w:p>
            <w:r/>
            <w:r>
              <w:rPr>
                <w:b w:val="0"/>
              </w:rPr>
              <w:t>Se validará la entrada upstream farmacológicamente con CRH. AVP/AVPR1B queda como extensión opcional.</w:t>
            </w:r>
          </w:p>
        </w:tc>
      </w:tr>
      <w:tr>
        <w:trPr>
          <w:cantSplit/>
        </w:trPr>
        <w:tc>
          <w:tcPr>
            <w:tcW w:type="dxa" w:w="2160"/>
            <w:vAlign w:val="center"/>
            <w:shd w:fill="D9EAF7"/>
          </w:tcPr>
          <w:p>
            <w:r/>
            <w:r>
              <w:rPr>
                <w:b w:val="0"/>
              </w:rPr>
              <w:t>SSTR3/SSTR5</w:t>
            </w:r>
          </w:p>
        </w:tc>
        <w:tc>
          <w:tcPr>
            <w:tcW w:type="dxa" w:w="1872"/>
            <w:vAlign w:val="center"/>
          </w:tcPr>
          <w:p>
            <w:r/>
            <w:r>
              <w:rPr>
                <w:b w:val="0"/>
              </w:rPr>
              <w:t>No realizar ahora</w:t>
            </w:r>
          </w:p>
        </w:tc>
        <w:tc>
          <w:tcPr>
            <w:tcW w:type="dxa" w:w="6480"/>
            <w:vAlign w:val="center"/>
          </w:tcPr>
          <w:p>
            <w:r/>
            <w:r>
              <w:rPr>
                <w:b w:val="0"/>
              </w:rPr>
              <w:t>Interesantes terapéuticamente, pero no necesarios para cerrar la hipótesis funcional central.</w:t>
            </w:r>
          </w:p>
        </w:tc>
      </w:tr>
    </w:tbl>
    <w:p/>
    <w:p>
      <w:pPr>
        <w:pStyle w:val="Heading1"/>
      </w:pPr>
      <w:r>
        <w:t>4. Experimento 0: caracterización basal de la línea AtT-20</w:t>
      </w:r>
    </w:p>
    <w:p>
      <w:r>
        <w:t>Antes de iniciar la manipulación génica, debe confirmarse que la línea mantiene un perfil corticotropo estable. La propuesta inicial planteaba múltiples pases, pero para una fase urgente se recomienda reducirlo a dos puntos representativos: un pase actual de trabajo y un pase más avanzado disponible.</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2448"/>
            <w:vAlign w:val="center"/>
            <w:shd w:fill="1F4E79"/>
          </w:tcPr>
          <w:p>
            <w:r/>
            <w:r>
              <w:rPr>
                <w:b/>
                <w:color w:val="FFFFFF"/>
              </w:rPr>
              <w:t>Elemento</w:t>
            </w:r>
          </w:p>
        </w:tc>
        <w:tc>
          <w:tcPr>
            <w:tcW w:type="dxa" w:w="8064"/>
            <w:vAlign w:val="center"/>
            <w:shd w:fill="1F4E79"/>
          </w:tcPr>
          <w:p>
            <w:r/>
            <w:r>
              <w:rPr>
                <w:b/>
                <w:color w:val="FFFFFF"/>
              </w:rPr>
              <w:t>Diseño mínimo recomendado</w:t>
            </w:r>
          </w:p>
        </w:tc>
      </w:tr>
      <w:tr>
        <w:trPr>
          <w:cantSplit/>
        </w:trPr>
        <w:tc>
          <w:tcPr>
            <w:tcW w:type="dxa" w:w="2448"/>
            <w:vAlign w:val="center"/>
            <w:shd w:fill="D9EAF7"/>
          </w:tcPr>
          <w:p>
            <w:r/>
            <w:r>
              <w:rPr>
                <w:b w:val="0"/>
              </w:rPr>
              <w:t>Pases</w:t>
            </w:r>
          </w:p>
        </w:tc>
        <w:tc>
          <w:tcPr>
            <w:tcW w:type="dxa" w:w="8064"/>
            <w:vAlign w:val="center"/>
          </w:tcPr>
          <w:p>
            <w:r/>
            <w:r>
              <w:rPr>
                <w:b w:val="0"/>
              </w:rPr>
              <w:t>Dos pases: pase actual/intermedio y pase más avanzado disponible. Si solo hay un pase viable, documentar el número de pase y usarlo para todos los ensayos.</w:t>
            </w:r>
          </w:p>
        </w:tc>
      </w:tr>
      <w:tr>
        <w:trPr>
          <w:cantSplit/>
        </w:trPr>
        <w:tc>
          <w:tcPr>
            <w:tcW w:type="dxa" w:w="2448"/>
            <w:vAlign w:val="center"/>
            <w:shd w:fill="D9EAF7"/>
          </w:tcPr>
          <w:p>
            <w:r/>
            <w:r>
              <w:rPr>
                <w:b w:val="0"/>
              </w:rPr>
              <w:t>Réplicas</w:t>
            </w:r>
          </w:p>
        </w:tc>
        <w:tc>
          <w:tcPr>
            <w:tcW w:type="dxa" w:w="8064"/>
            <w:vAlign w:val="center"/>
          </w:tcPr>
          <w:p>
            <w:r/>
            <w:r>
              <w:rPr>
                <w:b w:val="0"/>
              </w:rPr>
              <w:t>3 réplicas biológicas por pase.</w:t>
            </w:r>
          </w:p>
        </w:tc>
      </w:tr>
      <w:tr>
        <w:trPr>
          <w:cantSplit/>
        </w:trPr>
        <w:tc>
          <w:tcPr>
            <w:tcW w:type="dxa" w:w="2448"/>
            <w:vAlign w:val="center"/>
            <w:shd w:fill="D9EAF7"/>
          </w:tcPr>
          <w:p>
            <w:r/>
            <w:r>
              <w:rPr>
                <w:b w:val="0"/>
              </w:rPr>
              <w:t>Lectura funcional</w:t>
            </w:r>
          </w:p>
        </w:tc>
        <w:tc>
          <w:tcPr>
            <w:tcW w:type="dxa" w:w="8064"/>
            <w:vAlign w:val="center"/>
          </w:tcPr>
          <w:p>
            <w:r/>
            <w:r>
              <w:rPr>
                <w:b w:val="0"/>
              </w:rPr>
              <w:t>ACTH en sobrenadante, normalizada por proteína total, número celular o viabilidad.</w:t>
            </w:r>
          </w:p>
        </w:tc>
      </w:tr>
      <w:tr>
        <w:trPr>
          <w:cantSplit/>
        </w:trPr>
        <w:tc>
          <w:tcPr>
            <w:tcW w:type="dxa" w:w="2448"/>
            <w:vAlign w:val="center"/>
            <w:shd w:fill="D9EAF7"/>
          </w:tcPr>
          <w:p>
            <w:r/>
            <w:r>
              <w:rPr>
                <w:b w:val="0"/>
              </w:rPr>
              <w:t>qPCR mínima</w:t>
            </w:r>
          </w:p>
        </w:tc>
        <w:tc>
          <w:tcPr>
            <w:tcW w:type="dxa" w:w="8064"/>
            <w:vAlign w:val="center"/>
          </w:tcPr>
          <w:p>
            <w:r/>
            <w:r>
              <w:rPr>
                <w:b w:val="0"/>
              </w:rPr>
              <w:t>Pomc, Pcsk1, Crhr1, Avpr1b, Nr3c1, Fkbp5. Opcional: Tbx19 y Cables1 como contexto.</w:t>
            </w:r>
          </w:p>
        </w:tc>
      </w:tr>
      <w:tr>
        <w:trPr>
          <w:cantSplit/>
        </w:trPr>
        <w:tc>
          <w:tcPr>
            <w:tcW w:type="dxa" w:w="2448"/>
            <w:vAlign w:val="center"/>
            <w:shd w:fill="D9EAF7"/>
          </w:tcPr>
          <w:p>
            <w:r/>
            <w:r>
              <w:rPr>
                <w:b w:val="0"/>
              </w:rPr>
              <w:t>Decisión derivada</w:t>
            </w:r>
          </w:p>
        </w:tc>
        <w:tc>
          <w:tcPr>
            <w:tcW w:type="dxa" w:w="8064"/>
            <w:vAlign w:val="center"/>
          </w:tcPr>
          <w:p>
            <w:r/>
            <w:r>
              <w:rPr>
                <w:b w:val="0"/>
              </w:rPr>
              <w:t>Si hay deriva marcada entre pases, limitar todos los experimentos a un rango estrecho de pase.</w:t>
            </w:r>
          </w:p>
        </w:tc>
      </w:tr>
    </w:tbl>
    <w:p/>
    <w:p>
      <w:pPr>
        <w:pStyle w:val="Heading1"/>
      </w:pPr>
      <w:r>
        <w:t>5. Experimento 1: validación farmacológica CRH / dexametasona</w:t>
      </w:r>
    </w:p>
    <w:p>
      <w:r>
        <w:t>Este es el experimento de validación del modelo. Permite demostrar que AtT-20 responde al estímulo corticotropo y al freno glucocorticoideo. También permite comprobar que FKBP5 funciona como marcador de activación de GR.</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1296"/>
            <w:vAlign w:val="center"/>
            <w:shd w:fill="1F4E79"/>
          </w:tcPr>
          <w:p>
            <w:r/>
            <w:r>
              <w:rPr>
                <w:b/>
                <w:color w:val="FFFFFF"/>
              </w:rPr>
              <w:t>Condición</w:t>
            </w:r>
          </w:p>
        </w:tc>
        <w:tc>
          <w:tcPr>
            <w:tcW w:type="dxa" w:w="3312"/>
            <w:vAlign w:val="center"/>
            <w:shd w:fill="1F4E79"/>
          </w:tcPr>
          <w:p>
            <w:r/>
            <w:r>
              <w:rPr>
                <w:b/>
                <w:color w:val="FFFFFF"/>
              </w:rPr>
              <w:t>Tratamiento</w:t>
            </w:r>
          </w:p>
        </w:tc>
        <w:tc>
          <w:tcPr>
            <w:tcW w:type="dxa" w:w="5904"/>
            <w:vAlign w:val="center"/>
            <w:shd w:fill="1F4E79"/>
          </w:tcPr>
          <w:p>
            <w:r/>
            <w:r>
              <w:rPr>
                <w:b/>
                <w:color w:val="FFFFFF"/>
              </w:rPr>
              <w:t>Objetivo</w:t>
            </w:r>
          </w:p>
        </w:tc>
      </w:tr>
      <w:tr>
        <w:trPr>
          <w:cantSplit/>
        </w:trPr>
        <w:tc>
          <w:tcPr>
            <w:tcW w:type="dxa" w:w="1296"/>
            <w:vAlign w:val="center"/>
            <w:shd w:fill="D9EAF7"/>
          </w:tcPr>
          <w:p>
            <w:r/>
            <w:r>
              <w:rPr>
                <w:b w:val="0"/>
              </w:rPr>
              <w:t>1</w:t>
            </w:r>
          </w:p>
        </w:tc>
        <w:tc>
          <w:tcPr>
            <w:tcW w:type="dxa" w:w="3312"/>
            <w:vAlign w:val="center"/>
          </w:tcPr>
          <w:p>
            <w:r/>
            <w:r>
              <w:rPr>
                <w:b w:val="0"/>
              </w:rPr>
              <w:t>Vehículo</w:t>
            </w:r>
          </w:p>
        </w:tc>
        <w:tc>
          <w:tcPr>
            <w:tcW w:type="dxa" w:w="5904"/>
            <w:vAlign w:val="center"/>
          </w:tcPr>
          <w:p>
            <w:r/>
            <w:r>
              <w:rPr>
                <w:b w:val="0"/>
              </w:rPr>
              <w:t>Control basal de secreción y expresión.</w:t>
            </w:r>
          </w:p>
        </w:tc>
      </w:tr>
      <w:tr>
        <w:trPr>
          <w:cantSplit/>
        </w:trPr>
        <w:tc>
          <w:tcPr>
            <w:tcW w:type="dxa" w:w="1296"/>
            <w:vAlign w:val="center"/>
            <w:shd w:fill="D9EAF7"/>
          </w:tcPr>
          <w:p>
            <w:r/>
            <w:r>
              <w:rPr>
                <w:b w:val="0"/>
              </w:rPr>
              <w:t>2</w:t>
            </w:r>
          </w:p>
        </w:tc>
        <w:tc>
          <w:tcPr>
            <w:tcW w:type="dxa" w:w="3312"/>
            <w:vAlign w:val="center"/>
          </w:tcPr>
          <w:p>
            <w:r/>
            <w:r>
              <w:rPr>
                <w:b w:val="0"/>
              </w:rPr>
              <w:t>CRH 10 nM</w:t>
            </w:r>
          </w:p>
        </w:tc>
        <w:tc>
          <w:tcPr>
            <w:tcW w:type="dxa" w:w="5904"/>
            <w:vAlign w:val="center"/>
          </w:tcPr>
          <w:p>
            <w:r/>
            <w:r>
              <w:rPr>
                <w:b w:val="0"/>
              </w:rPr>
              <w:t>Activar vía CRH/CRHR1 y comprobar inducción de ACTH/Pomc.</w:t>
            </w:r>
          </w:p>
        </w:tc>
      </w:tr>
      <w:tr>
        <w:trPr>
          <w:cantSplit/>
        </w:trPr>
        <w:tc>
          <w:tcPr>
            <w:tcW w:type="dxa" w:w="1296"/>
            <w:vAlign w:val="center"/>
            <w:shd w:fill="D9EAF7"/>
          </w:tcPr>
          <w:p>
            <w:r/>
            <w:r>
              <w:rPr>
                <w:b w:val="0"/>
              </w:rPr>
              <w:t>3</w:t>
            </w:r>
          </w:p>
        </w:tc>
        <w:tc>
          <w:tcPr>
            <w:tcW w:type="dxa" w:w="3312"/>
            <w:vAlign w:val="center"/>
          </w:tcPr>
          <w:p>
            <w:r/>
            <w:r>
              <w:rPr>
                <w:b w:val="0"/>
              </w:rPr>
              <w:t>Dexametasona 100 nM</w:t>
            </w:r>
          </w:p>
        </w:tc>
        <w:tc>
          <w:tcPr>
            <w:tcW w:type="dxa" w:w="5904"/>
            <w:vAlign w:val="center"/>
          </w:tcPr>
          <w:p>
            <w:r/>
            <w:r>
              <w:rPr>
                <w:b w:val="0"/>
              </w:rPr>
              <w:t>Activar GR/NR3C1 y comprobar inducción de Fkbp5 y represión de Pomc/ACTH.</w:t>
            </w:r>
          </w:p>
        </w:tc>
      </w:tr>
      <w:tr>
        <w:trPr>
          <w:cantSplit/>
        </w:trPr>
        <w:tc>
          <w:tcPr>
            <w:tcW w:type="dxa" w:w="1296"/>
            <w:vAlign w:val="center"/>
            <w:shd w:fill="D9EAF7"/>
          </w:tcPr>
          <w:p>
            <w:r/>
            <w:r>
              <w:rPr>
                <w:b w:val="0"/>
              </w:rPr>
              <w:t>4</w:t>
            </w:r>
          </w:p>
        </w:tc>
        <w:tc>
          <w:tcPr>
            <w:tcW w:type="dxa" w:w="3312"/>
            <w:vAlign w:val="center"/>
          </w:tcPr>
          <w:p>
            <w:r/>
            <w:r>
              <w:rPr>
                <w:b w:val="0"/>
              </w:rPr>
              <w:t>CRH 10 nM + dexametasona 100 nM</w:t>
            </w:r>
          </w:p>
        </w:tc>
        <w:tc>
          <w:tcPr>
            <w:tcW w:type="dxa" w:w="5904"/>
            <w:vAlign w:val="center"/>
          </w:tcPr>
          <w:p>
            <w:r/>
            <w:r>
              <w:rPr>
                <w:b w:val="0"/>
              </w:rPr>
              <w:t>Evaluar si el freno GR domina o modula la respuesta a CRH.</w:t>
            </w:r>
          </w:p>
        </w:tc>
      </w:tr>
    </w:tbl>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2592"/>
            <w:vAlign w:val="center"/>
            <w:shd w:fill="1F4E79"/>
          </w:tcPr>
          <w:p>
            <w:r/>
            <w:r>
              <w:rPr>
                <w:b/>
                <w:color w:val="FFFFFF"/>
              </w:rPr>
              <w:t>Aspecto técnico</w:t>
            </w:r>
          </w:p>
        </w:tc>
        <w:tc>
          <w:tcPr>
            <w:tcW w:type="dxa" w:w="7920"/>
            <w:vAlign w:val="center"/>
            <w:shd w:fill="1F4E79"/>
          </w:tcPr>
          <w:p>
            <w:r/>
            <w:r>
              <w:rPr>
                <w:b/>
                <w:color w:val="FFFFFF"/>
              </w:rPr>
              <w:t>Recomendación práctica</w:t>
            </w:r>
          </w:p>
        </w:tc>
      </w:tr>
      <w:tr>
        <w:trPr>
          <w:cantSplit/>
        </w:trPr>
        <w:tc>
          <w:tcPr>
            <w:tcW w:type="dxa" w:w="2592"/>
            <w:vAlign w:val="center"/>
            <w:shd w:fill="D9EAF7"/>
          </w:tcPr>
          <w:p>
            <w:r/>
            <w:r>
              <w:rPr>
                <w:b w:val="0"/>
              </w:rPr>
              <w:t>Réplicas</w:t>
            </w:r>
          </w:p>
        </w:tc>
        <w:tc>
          <w:tcPr>
            <w:tcW w:type="dxa" w:w="7920"/>
            <w:vAlign w:val="center"/>
          </w:tcPr>
          <w:p>
            <w:r/>
            <w:r>
              <w:rPr>
                <w:b w:val="0"/>
              </w:rPr>
              <w:t>3 réplicas biológicas por condición.</w:t>
            </w:r>
          </w:p>
        </w:tc>
      </w:tr>
      <w:tr>
        <w:trPr>
          <w:cantSplit/>
        </w:trPr>
        <w:tc>
          <w:tcPr>
            <w:tcW w:type="dxa" w:w="2592"/>
            <w:vAlign w:val="center"/>
            <w:shd w:fill="D9EAF7"/>
          </w:tcPr>
          <w:p>
            <w:r/>
            <w:r>
              <w:rPr>
                <w:b w:val="0"/>
              </w:rPr>
              <w:t>Tiempo</w:t>
            </w:r>
          </w:p>
        </w:tc>
        <w:tc>
          <w:tcPr>
            <w:tcW w:type="dxa" w:w="7920"/>
            <w:vAlign w:val="center"/>
          </w:tcPr>
          <w:p>
            <w:r/>
            <w:r>
              <w:rPr>
                <w:b w:val="0"/>
              </w:rPr>
              <w:t>Mínimo operativo: 24 h para RNA y ACTH. Si es viable, añadir lectura corta de ACTH a 4-6 h.</w:t>
            </w:r>
          </w:p>
        </w:tc>
      </w:tr>
      <w:tr>
        <w:trPr>
          <w:cantSplit/>
        </w:trPr>
        <w:tc>
          <w:tcPr>
            <w:tcW w:type="dxa" w:w="2592"/>
            <w:vAlign w:val="center"/>
            <w:shd w:fill="D9EAF7"/>
          </w:tcPr>
          <w:p>
            <w:r/>
            <w:r>
              <w:rPr>
                <w:b w:val="0"/>
              </w:rPr>
              <w:t>Lectura primaria</w:t>
            </w:r>
          </w:p>
        </w:tc>
        <w:tc>
          <w:tcPr>
            <w:tcW w:type="dxa" w:w="7920"/>
            <w:vAlign w:val="center"/>
          </w:tcPr>
          <w:p>
            <w:r/>
            <w:r>
              <w:rPr>
                <w:b w:val="0"/>
              </w:rPr>
              <w:t>ACTH en sobrenadante.</w:t>
            </w:r>
          </w:p>
        </w:tc>
      </w:tr>
      <w:tr>
        <w:trPr>
          <w:cantSplit/>
        </w:trPr>
        <w:tc>
          <w:tcPr>
            <w:tcW w:type="dxa" w:w="2592"/>
            <w:vAlign w:val="center"/>
            <w:shd w:fill="D9EAF7"/>
          </w:tcPr>
          <w:p>
            <w:r/>
            <w:r>
              <w:rPr>
                <w:b w:val="0"/>
              </w:rPr>
              <w:t>qPCR</w:t>
            </w:r>
          </w:p>
        </w:tc>
        <w:tc>
          <w:tcPr>
            <w:tcW w:type="dxa" w:w="7920"/>
            <w:vAlign w:val="center"/>
          </w:tcPr>
          <w:p>
            <w:r/>
            <w:r>
              <w:rPr>
                <w:b w:val="0"/>
              </w:rPr>
              <w:t>Pomc, Pcsk1, Crhr1, Nr3c1, Fkbp5.</w:t>
            </w:r>
          </w:p>
        </w:tc>
      </w:tr>
      <w:tr>
        <w:trPr>
          <w:cantSplit/>
        </w:trPr>
        <w:tc>
          <w:tcPr>
            <w:tcW w:type="dxa" w:w="2592"/>
            <w:vAlign w:val="center"/>
            <w:shd w:fill="D9EAF7"/>
          </w:tcPr>
          <w:p>
            <w:r/>
            <w:r>
              <w:rPr>
                <w:b w:val="0"/>
              </w:rPr>
              <w:t>Control de toxicidad</w:t>
            </w:r>
          </w:p>
        </w:tc>
        <w:tc>
          <w:tcPr>
            <w:tcW w:type="dxa" w:w="7920"/>
            <w:vAlign w:val="center"/>
          </w:tcPr>
          <w:p>
            <w:r/>
            <w:r>
              <w:rPr>
                <w:b w:val="0"/>
              </w:rPr>
              <w:t>Viabilidad/celularidad o proteína total para normalizar ACTH.</w:t>
            </w:r>
          </w:p>
        </w:tc>
      </w:tr>
    </w:tbl>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Resultado esperado</w:t>
            </w:r>
          </w:p>
        </w:tc>
      </w:tr>
      <w:tr>
        <w:tc>
          <w:tcPr>
            <w:tcW w:type="dxa" w:w="10166"/>
            <w:vAlign w:val="center"/>
            <w:shd w:fill="E2F0D9"/>
          </w:tcPr>
          <w:p>
            <w:r/>
            <w:r>
              <w:rPr>
                <w:b w:val="0"/>
              </w:rPr>
              <w:t>CRH debería aumentar ACTH y/o Pomc. Dexametasona debería inducir Fkbp5 y reducir Pomc/ACTH. Si esto ocurre, AtT-20 queda validada como modelo funcional para estudiar el equilibrio entre señal corticotropa y feedback glucocorticoideo.</w:t>
            </w:r>
          </w:p>
        </w:tc>
      </w:tr>
    </w:tbl>
    <w:p/>
    <w:p>
      <w:pPr>
        <w:pStyle w:val="Heading1"/>
      </w:pPr>
      <w:r>
        <w:t>6. Experimento 2: siNR3C1 +/- dexametasona</w:t>
      </w:r>
    </w:p>
    <w:p>
      <w:r>
        <w:t>Este experimento pregunta si el receptor de glucocorticoides es necesario para que la dexametasona ejerza el freno funcional sobre el programa corticotropo. Es una prueba causal del eje NR3C1/GR.</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1080"/>
            <w:vAlign w:val="center"/>
            <w:shd w:fill="1F4E79"/>
          </w:tcPr>
          <w:p>
            <w:r/>
            <w:r>
              <w:rPr>
                <w:b/>
                <w:color w:val="FFFFFF"/>
              </w:rPr>
              <w:t>Condición</w:t>
            </w:r>
          </w:p>
        </w:tc>
        <w:tc>
          <w:tcPr>
            <w:tcW w:type="dxa" w:w="2304"/>
            <w:vAlign w:val="center"/>
            <w:shd w:fill="1F4E79"/>
          </w:tcPr>
          <w:p>
            <w:r/>
            <w:r>
              <w:rPr>
                <w:b/>
                <w:color w:val="FFFFFF"/>
              </w:rPr>
              <w:t>Transfección</w:t>
            </w:r>
          </w:p>
        </w:tc>
        <w:tc>
          <w:tcPr>
            <w:tcW w:type="dxa" w:w="2592"/>
            <w:vAlign w:val="center"/>
            <w:shd w:fill="1F4E79"/>
          </w:tcPr>
          <w:p>
            <w:r/>
            <w:r>
              <w:rPr>
                <w:b/>
                <w:color w:val="FFFFFF"/>
              </w:rPr>
              <w:t>Tratamiento</w:t>
            </w:r>
          </w:p>
        </w:tc>
        <w:tc>
          <w:tcPr>
            <w:tcW w:type="dxa" w:w="4464"/>
            <w:vAlign w:val="center"/>
            <w:shd w:fill="1F4E79"/>
          </w:tcPr>
          <w:p>
            <w:r/>
            <w:r>
              <w:rPr>
                <w:b/>
                <w:color w:val="FFFFFF"/>
              </w:rPr>
              <w:t>Interpretación</w:t>
            </w:r>
          </w:p>
        </w:tc>
      </w:tr>
      <w:tr>
        <w:trPr>
          <w:cantSplit/>
        </w:trPr>
        <w:tc>
          <w:tcPr>
            <w:tcW w:type="dxa" w:w="1080"/>
            <w:vAlign w:val="center"/>
            <w:shd w:fill="D9EAF7"/>
          </w:tcPr>
          <w:p>
            <w:r/>
            <w:r>
              <w:rPr>
                <w:b w:val="0"/>
              </w:rPr>
              <w:t>1</w:t>
            </w:r>
          </w:p>
        </w:tc>
        <w:tc>
          <w:tcPr>
            <w:tcW w:type="dxa" w:w="2304"/>
            <w:vAlign w:val="center"/>
          </w:tcPr>
          <w:p>
            <w:r/>
            <w:r>
              <w:rPr>
                <w:b w:val="0"/>
              </w:rPr>
              <w:t>siControl</w:t>
            </w:r>
          </w:p>
        </w:tc>
        <w:tc>
          <w:tcPr>
            <w:tcW w:type="dxa" w:w="2592"/>
            <w:vAlign w:val="center"/>
          </w:tcPr>
          <w:p>
            <w:r/>
            <w:r>
              <w:rPr>
                <w:b w:val="0"/>
              </w:rPr>
              <w:t>Vehículo</w:t>
            </w:r>
          </w:p>
        </w:tc>
        <w:tc>
          <w:tcPr>
            <w:tcW w:type="dxa" w:w="4464"/>
            <w:vAlign w:val="center"/>
          </w:tcPr>
          <w:p>
            <w:r/>
            <w:r>
              <w:rPr>
                <w:b w:val="0"/>
              </w:rPr>
              <w:t>Control basal transfectado.</w:t>
            </w:r>
          </w:p>
        </w:tc>
      </w:tr>
      <w:tr>
        <w:trPr>
          <w:cantSplit/>
        </w:trPr>
        <w:tc>
          <w:tcPr>
            <w:tcW w:type="dxa" w:w="1080"/>
            <w:vAlign w:val="center"/>
            <w:shd w:fill="D9EAF7"/>
          </w:tcPr>
          <w:p>
            <w:r/>
            <w:r>
              <w:rPr>
                <w:b w:val="0"/>
              </w:rPr>
              <w:t>2</w:t>
            </w:r>
          </w:p>
        </w:tc>
        <w:tc>
          <w:tcPr>
            <w:tcW w:type="dxa" w:w="2304"/>
            <w:vAlign w:val="center"/>
          </w:tcPr>
          <w:p>
            <w:r/>
            <w:r>
              <w:rPr>
                <w:b w:val="0"/>
              </w:rPr>
              <w:t>siControl</w:t>
            </w:r>
          </w:p>
        </w:tc>
        <w:tc>
          <w:tcPr>
            <w:tcW w:type="dxa" w:w="2592"/>
            <w:vAlign w:val="center"/>
          </w:tcPr>
          <w:p>
            <w:r/>
            <w:r>
              <w:rPr>
                <w:b w:val="0"/>
              </w:rPr>
              <w:t>Dexametasona 100 nM</w:t>
            </w:r>
          </w:p>
        </w:tc>
        <w:tc>
          <w:tcPr>
            <w:tcW w:type="dxa" w:w="4464"/>
            <w:vAlign w:val="center"/>
          </w:tcPr>
          <w:p>
            <w:r/>
            <w:r>
              <w:rPr>
                <w:b w:val="0"/>
              </w:rPr>
              <w:t>Respuesta normal al freno GR.</w:t>
            </w:r>
          </w:p>
        </w:tc>
      </w:tr>
      <w:tr>
        <w:trPr>
          <w:cantSplit/>
        </w:trPr>
        <w:tc>
          <w:tcPr>
            <w:tcW w:type="dxa" w:w="1080"/>
            <w:vAlign w:val="center"/>
            <w:shd w:fill="D9EAF7"/>
          </w:tcPr>
          <w:p>
            <w:r/>
            <w:r>
              <w:rPr>
                <w:b w:val="0"/>
              </w:rPr>
              <w:t>3</w:t>
            </w:r>
          </w:p>
        </w:tc>
        <w:tc>
          <w:tcPr>
            <w:tcW w:type="dxa" w:w="2304"/>
            <w:vAlign w:val="center"/>
          </w:tcPr>
          <w:p>
            <w:r/>
            <w:r>
              <w:rPr>
                <w:b w:val="0"/>
              </w:rPr>
              <w:t>siNR3C1</w:t>
            </w:r>
          </w:p>
        </w:tc>
        <w:tc>
          <w:tcPr>
            <w:tcW w:type="dxa" w:w="2592"/>
            <w:vAlign w:val="center"/>
          </w:tcPr>
          <w:p>
            <w:r/>
            <w:r>
              <w:rPr>
                <w:b w:val="0"/>
              </w:rPr>
              <w:t>Vehículo</w:t>
            </w:r>
          </w:p>
        </w:tc>
        <w:tc>
          <w:tcPr>
            <w:tcW w:type="dxa" w:w="4464"/>
            <w:vAlign w:val="center"/>
          </w:tcPr>
          <w:p>
            <w:r/>
            <w:r>
              <w:rPr>
                <w:b w:val="0"/>
              </w:rPr>
              <w:t>Efecto de reducir GR sin estímulo.</w:t>
            </w:r>
          </w:p>
        </w:tc>
      </w:tr>
      <w:tr>
        <w:trPr>
          <w:cantSplit/>
        </w:trPr>
        <w:tc>
          <w:tcPr>
            <w:tcW w:type="dxa" w:w="1080"/>
            <w:vAlign w:val="center"/>
            <w:shd w:fill="D9EAF7"/>
          </w:tcPr>
          <w:p>
            <w:r/>
            <w:r>
              <w:rPr>
                <w:b w:val="0"/>
              </w:rPr>
              <w:t>4</w:t>
            </w:r>
          </w:p>
        </w:tc>
        <w:tc>
          <w:tcPr>
            <w:tcW w:type="dxa" w:w="2304"/>
            <w:vAlign w:val="center"/>
          </w:tcPr>
          <w:p>
            <w:r/>
            <w:r>
              <w:rPr>
                <w:b w:val="0"/>
              </w:rPr>
              <w:t>siNR3C1</w:t>
            </w:r>
          </w:p>
        </w:tc>
        <w:tc>
          <w:tcPr>
            <w:tcW w:type="dxa" w:w="2592"/>
            <w:vAlign w:val="center"/>
          </w:tcPr>
          <w:p>
            <w:r/>
            <w:r>
              <w:rPr>
                <w:b w:val="0"/>
              </w:rPr>
              <w:t>Dexametasona 100 nM</w:t>
            </w:r>
          </w:p>
        </w:tc>
        <w:tc>
          <w:tcPr>
            <w:tcW w:type="dxa" w:w="4464"/>
            <w:vAlign w:val="center"/>
          </w:tcPr>
          <w:p>
            <w:r/>
            <w:r>
              <w:rPr>
                <w:b w:val="0"/>
              </w:rPr>
              <w:t>Comprueba si la respuesta a dexametasona depende de NR3C1.</w:t>
            </w:r>
          </w:p>
        </w:tc>
      </w:tr>
    </w:tbl>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2592"/>
            <w:vAlign w:val="center"/>
            <w:shd w:fill="1F4E79"/>
          </w:tcPr>
          <w:p>
            <w:r/>
            <w:r>
              <w:rPr>
                <w:b/>
                <w:color w:val="FFFFFF"/>
              </w:rPr>
              <w:t>Elemento</w:t>
            </w:r>
          </w:p>
        </w:tc>
        <w:tc>
          <w:tcPr>
            <w:tcW w:type="dxa" w:w="7920"/>
            <w:vAlign w:val="center"/>
            <w:shd w:fill="1F4E79"/>
          </w:tcPr>
          <w:p>
            <w:r/>
            <w:r>
              <w:rPr>
                <w:b/>
                <w:color w:val="FFFFFF"/>
              </w:rPr>
              <w:t>Mínimo exigible</w:t>
            </w:r>
          </w:p>
        </w:tc>
      </w:tr>
      <w:tr>
        <w:trPr>
          <w:cantSplit/>
        </w:trPr>
        <w:tc>
          <w:tcPr>
            <w:tcW w:type="dxa" w:w="2592"/>
            <w:vAlign w:val="center"/>
            <w:shd w:fill="D9EAF7"/>
          </w:tcPr>
          <w:p>
            <w:r/>
            <w:r>
              <w:rPr>
                <w:b w:val="0"/>
              </w:rPr>
              <w:t>Validación del knockdown</w:t>
            </w:r>
          </w:p>
        </w:tc>
        <w:tc>
          <w:tcPr>
            <w:tcW w:type="dxa" w:w="7920"/>
            <w:vAlign w:val="center"/>
          </w:tcPr>
          <w:p>
            <w:r/>
            <w:r>
              <w:rPr>
                <w:b w:val="0"/>
              </w:rPr>
              <w:t>RT-qPCR de Nr3c1. Objetivo orientativo: reducción clara frente a siControl, idealmente &gt;50%.</w:t>
            </w:r>
          </w:p>
        </w:tc>
      </w:tr>
      <w:tr>
        <w:trPr>
          <w:cantSplit/>
        </w:trPr>
        <w:tc>
          <w:tcPr>
            <w:tcW w:type="dxa" w:w="2592"/>
            <w:vAlign w:val="center"/>
            <w:shd w:fill="D9EAF7"/>
          </w:tcPr>
          <w:p>
            <w:r/>
            <w:r>
              <w:rPr>
                <w:b w:val="0"/>
              </w:rPr>
              <w:t>Lectura funcional cercana</w:t>
            </w:r>
          </w:p>
        </w:tc>
        <w:tc>
          <w:tcPr>
            <w:tcW w:type="dxa" w:w="7920"/>
            <w:vAlign w:val="center"/>
          </w:tcPr>
          <w:p>
            <w:r/>
            <w:r>
              <w:rPr>
                <w:b w:val="0"/>
              </w:rPr>
              <w:t>Fkbp5. Si baja la inducción de Fkbp5 con dexametasona tras siNR3C1, el knockdown es funcional.</w:t>
            </w:r>
          </w:p>
        </w:tc>
      </w:tr>
      <w:tr>
        <w:trPr>
          <w:cantSplit/>
        </w:trPr>
        <w:tc>
          <w:tcPr>
            <w:tcW w:type="dxa" w:w="2592"/>
            <w:vAlign w:val="center"/>
            <w:shd w:fill="D9EAF7"/>
          </w:tcPr>
          <w:p>
            <w:r/>
            <w:r>
              <w:rPr>
                <w:b w:val="0"/>
              </w:rPr>
              <w:t>Salida corticotropa</w:t>
            </w:r>
          </w:p>
        </w:tc>
        <w:tc>
          <w:tcPr>
            <w:tcW w:type="dxa" w:w="7920"/>
            <w:vAlign w:val="center"/>
          </w:tcPr>
          <w:p>
            <w:r/>
            <w:r>
              <w:rPr>
                <w:b w:val="0"/>
              </w:rPr>
              <w:t>Pomc, Pcsk1 y ACTH en sobrenadante.</w:t>
            </w:r>
          </w:p>
        </w:tc>
      </w:tr>
      <w:tr>
        <w:trPr>
          <w:cantSplit/>
        </w:trPr>
        <w:tc>
          <w:tcPr>
            <w:tcW w:type="dxa" w:w="2592"/>
            <w:vAlign w:val="center"/>
            <w:shd w:fill="D9EAF7"/>
          </w:tcPr>
          <w:p>
            <w:r/>
            <w:r>
              <w:rPr>
                <w:b w:val="0"/>
              </w:rPr>
              <w:t>Control de interpretación</w:t>
            </w:r>
          </w:p>
        </w:tc>
        <w:tc>
          <w:tcPr>
            <w:tcW w:type="dxa" w:w="7920"/>
            <w:vAlign w:val="center"/>
          </w:tcPr>
          <w:p>
            <w:r/>
            <w:r>
              <w:rPr>
                <w:b w:val="0"/>
              </w:rPr>
              <w:t>Viabilidad/celularidad para excluir toxicidad de transfección.</w:t>
            </w:r>
          </w:p>
        </w:tc>
      </w:tr>
    </w:tbl>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Interpretación clave</w:t>
            </w:r>
          </w:p>
        </w:tc>
      </w:tr>
      <w:tr>
        <w:tc>
          <w:tcPr>
            <w:tcW w:type="dxa" w:w="10166"/>
            <w:vAlign w:val="center"/>
            <w:shd w:fill="E2F0D9"/>
          </w:tcPr>
          <w:p>
            <w:r/>
            <w:r>
              <w:rPr>
                <w:b w:val="0"/>
              </w:rPr>
              <w:t>Si la dexametasona reprime Pomc/ACTH en siControl y ese efecto se atenúa con siNR3C1, se apoya que NR3C1/GR actúa como freno causal del programa corticotropo. Esto encaja con un mecanismo de silenciamiento hormonal mediado por mayor feedback glucocorticoideo.</w:t>
            </w:r>
          </w:p>
        </w:tc>
      </w:tr>
    </w:tbl>
    <w:p/>
    <w:p>
      <w:pPr>
        <w:pStyle w:val="Heading1"/>
      </w:pPr>
      <w:r>
        <w:t>7. Experimento 3: siPCSK1 +/- CRH</w:t>
      </w:r>
    </w:p>
    <w:p>
      <w:r>
        <w:t>Este experimento es el más directo para separar síntesis de precursor hormonal y procesamiento efectivo hacia ACTH. Permite modelar una célula que mantiene parcialmente Pomc, pero pierde capacidad de generar ACTH madura.</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1080"/>
            <w:vAlign w:val="center"/>
            <w:shd w:fill="1F4E79"/>
          </w:tcPr>
          <w:p>
            <w:r/>
            <w:r>
              <w:rPr>
                <w:b/>
                <w:color w:val="FFFFFF"/>
              </w:rPr>
              <w:t>Condición</w:t>
            </w:r>
          </w:p>
        </w:tc>
        <w:tc>
          <w:tcPr>
            <w:tcW w:type="dxa" w:w="2304"/>
            <w:vAlign w:val="center"/>
            <w:shd w:fill="1F4E79"/>
          </w:tcPr>
          <w:p>
            <w:r/>
            <w:r>
              <w:rPr>
                <w:b/>
                <w:color w:val="FFFFFF"/>
              </w:rPr>
              <w:t>Transfección</w:t>
            </w:r>
          </w:p>
        </w:tc>
        <w:tc>
          <w:tcPr>
            <w:tcW w:type="dxa" w:w="2592"/>
            <w:vAlign w:val="center"/>
            <w:shd w:fill="1F4E79"/>
          </w:tcPr>
          <w:p>
            <w:r/>
            <w:r>
              <w:rPr>
                <w:b/>
                <w:color w:val="FFFFFF"/>
              </w:rPr>
              <w:t>Tratamiento</w:t>
            </w:r>
          </w:p>
        </w:tc>
        <w:tc>
          <w:tcPr>
            <w:tcW w:type="dxa" w:w="4464"/>
            <w:vAlign w:val="center"/>
            <w:shd w:fill="1F4E79"/>
          </w:tcPr>
          <w:p>
            <w:r/>
            <w:r>
              <w:rPr>
                <w:b/>
                <w:color w:val="FFFFFF"/>
              </w:rPr>
              <w:t>Interpretación</w:t>
            </w:r>
          </w:p>
        </w:tc>
      </w:tr>
      <w:tr>
        <w:trPr>
          <w:cantSplit/>
        </w:trPr>
        <w:tc>
          <w:tcPr>
            <w:tcW w:type="dxa" w:w="1080"/>
            <w:vAlign w:val="center"/>
            <w:shd w:fill="D9EAF7"/>
          </w:tcPr>
          <w:p>
            <w:r/>
            <w:r>
              <w:rPr>
                <w:b w:val="0"/>
              </w:rPr>
              <w:t>1</w:t>
            </w:r>
          </w:p>
        </w:tc>
        <w:tc>
          <w:tcPr>
            <w:tcW w:type="dxa" w:w="2304"/>
            <w:vAlign w:val="center"/>
          </w:tcPr>
          <w:p>
            <w:r/>
            <w:r>
              <w:rPr>
                <w:b w:val="0"/>
              </w:rPr>
              <w:t>siControl</w:t>
            </w:r>
          </w:p>
        </w:tc>
        <w:tc>
          <w:tcPr>
            <w:tcW w:type="dxa" w:w="2592"/>
            <w:vAlign w:val="center"/>
          </w:tcPr>
          <w:p>
            <w:r/>
            <w:r>
              <w:rPr>
                <w:b w:val="0"/>
              </w:rPr>
              <w:t>Vehículo</w:t>
            </w:r>
          </w:p>
        </w:tc>
        <w:tc>
          <w:tcPr>
            <w:tcW w:type="dxa" w:w="4464"/>
            <w:vAlign w:val="center"/>
          </w:tcPr>
          <w:p>
            <w:r/>
            <w:r>
              <w:rPr>
                <w:b w:val="0"/>
              </w:rPr>
              <w:t>Control basal transfectado.</w:t>
            </w:r>
          </w:p>
        </w:tc>
      </w:tr>
      <w:tr>
        <w:trPr>
          <w:cantSplit/>
        </w:trPr>
        <w:tc>
          <w:tcPr>
            <w:tcW w:type="dxa" w:w="1080"/>
            <w:vAlign w:val="center"/>
            <w:shd w:fill="D9EAF7"/>
          </w:tcPr>
          <w:p>
            <w:r/>
            <w:r>
              <w:rPr>
                <w:b w:val="0"/>
              </w:rPr>
              <w:t>2</w:t>
            </w:r>
          </w:p>
        </w:tc>
        <w:tc>
          <w:tcPr>
            <w:tcW w:type="dxa" w:w="2304"/>
            <w:vAlign w:val="center"/>
          </w:tcPr>
          <w:p>
            <w:r/>
            <w:r>
              <w:rPr>
                <w:b w:val="0"/>
              </w:rPr>
              <w:t>siControl</w:t>
            </w:r>
          </w:p>
        </w:tc>
        <w:tc>
          <w:tcPr>
            <w:tcW w:type="dxa" w:w="2592"/>
            <w:vAlign w:val="center"/>
          </w:tcPr>
          <w:p>
            <w:r/>
            <w:r>
              <w:rPr>
                <w:b w:val="0"/>
              </w:rPr>
              <w:t>CRH 10 nM</w:t>
            </w:r>
          </w:p>
        </w:tc>
        <w:tc>
          <w:tcPr>
            <w:tcW w:type="dxa" w:w="4464"/>
            <w:vAlign w:val="center"/>
          </w:tcPr>
          <w:p>
            <w:r/>
            <w:r>
              <w:rPr>
                <w:b w:val="0"/>
              </w:rPr>
              <w:t>Respuesta corticotropa normal al estímulo.</w:t>
            </w:r>
          </w:p>
        </w:tc>
      </w:tr>
      <w:tr>
        <w:trPr>
          <w:cantSplit/>
        </w:trPr>
        <w:tc>
          <w:tcPr>
            <w:tcW w:type="dxa" w:w="1080"/>
            <w:vAlign w:val="center"/>
            <w:shd w:fill="D9EAF7"/>
          </w:tcPr>
          <w:p>
            <w:r/>
            <w:r>
              <w:rPr>
                <w:b w:val="0"/>
              </w:rPr>
              <w:t>3</w:t>
            </w:r>
          </w:p>
        </w:tc>
        <w:tc>
          <w:tcPr>
            <w:tcW w:type="dxa" w:w="2304"/>
            <w:vAlign w:val="center"/>
          </w:tcPr>
          <w:p>
            <w:r/>
            <w:r>
              <w:rPr>
                <w:b w:val="0"/>
              </w:rPr>
              <w:t>siPCSK1</w:t>
            </w:r>
          </w:p>
        </w:tc>
        <w:tc>
          <w:tcPr>
            <w:tcW w:type="dxa" w:w="2592"/>
            <w:vAlign w:val="center"/>
          </w:tcPr>
          <w:p>
            <w:r/>
            <w:r>
              <w:rPr>
                <w:b w:val="0"/>
              </w:rPr>
              <w:t>Vehículo</w:t>
            </w:r>
          </w:p>
        </w:tc>
        <w:tc>
          <w:tcPr>
            <w:tcW w:type="dxa" w:w="4464"/>
            <w:vAlign w:val="center"/>
          </w:tcPr>
          <w:p>
            <w:r/>
            <w:r>
              <w:rPr>
                <w:b w:val="0"/>
              </w:rPr>
              <w:t>Efecto de reducir procesamiento hormonal.</w:t>
            </w:r>
          </w:p>
        </w:tc>
      </w:tr>
      <w:tr>
        <w:trPr>
          <w:cantSplit/>
        </w:trPr>
        <w:tc>
          <w:tcPr>
            <w:tcW w:type="dxa" w:w="1080"/>
            <w:vAlign w:val="center"/>
            <w:shd w:fill="D9EAF7"/>
          </w:tcPr>
          <w:p>
            <w:r/>
            <w:r>
              <w:rPr>
                <w:b w:val="0"/>
              </w:rPr>
              <w:t>4</w:t>
            </w:r>
          </w:p>
        </w:tc>
        <w:tc>
          <w:tcPr>
            <w:tcW w:type="dxa" w:w="2304"/>
            <w:vAlign w:val="center"/>
          </w:tcPr>
          <w:p>
            <w:r/>
            <w:r>
              <w:rPr>
                <w:b w:val="0"/>
              </w:rPr>
              <w:t>siPCSK1</w:t>
            </w:r>
          </w:p>
        </w:tc>
        <w:tc>
          <w:tcPr>
            <w:tcW w:type="dxa" w:w="2592"/>
            <w:vAlign w:val="center"/>
          </w:tcPr>
          <w:p>
            <w:r/>
            <w:r>
              <w:rPr>
                <w:b w:val="0"/>
              </w:rPr>
              <w:t>CRH 10 nM</w:t>
            </w:r>
          </w:p>
        </w:tc>
        <w:tc>
          <w:tcPr>
            <w:tcW w:type="dxa" w:w="4464"/>
            <w:vAlign w:val="center"/>
          </w:tcPr>
          <w:p>
            <w:r/>
            <w:r>
              <w:rPr>
                <w:b w:val="0"/>
              </w:rPr>
              <w:t>Comprueba si CRH no consigue rescatar ACTH cuando falla PCSK1.</w:t>
            </w:r>
          </w:p>
        </w:tc>
      </w:tr>
    </w:tbl>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2592"/>
            <w:vAlign w:val="center"/>
            <w:shd w:fill="1F4E79"/>
          </w:tcPr>
          <w:p>
            <w:r/>
            <w:r>
              <w:rPr>
                <w:b/>
                <w:color w:val="FFFFFF"/>
              </w:rPr>
              <w:t>Elemento</w:t>
            </w:r>
          </w:p>
        </w:tc>
        <w:tc>
          <w:tcPr>
            <w:tcW w:type="dxa" w:w="7920"/>
            <w:vAlign w:val="center"/>
            <w:shd w:fill="1F4E79"/>
          </w:tcPr>
          <w:p>
            <w:r/>
            <w:r>
              <w:rPr>
                <w:b/>
                <w:color w:val="FFFFFF"/>
              </w:rPr>
              <w:t>Mínimo exigible</w:t>
            </w:r>
          </w:p>
        </w:tc>
      </w:tr>
      <w:tr>
        <w:trPr>
          <w:cantSplit/>
        </w:trPr>
        <w:tc>
          <w:tcPr>
            <w:tcW w:type="dxa" w:w="2592"/>
            <w:vAlign w:val="center"/>
            <w:shd w:fill="D9EAF7"/>
          </w:tcPr>
          <w:p>
            <w:r/>
            <w:r>
              <w:rPr>
                <w:b w:val="0"/>
              </w:rPr>
              <w:t>Validación del knockdown</w:t>
            </w:r>
          </w:p>
        </w:tc>
        <w:tc>
          <w:tcPr>
            <w:tcW w:type="dxa" w:w="7920"/>
            <w:vAlign w:val="center"/>
          </w:tcPr>
          <w:p>
            <w:r/>
            <w:r>
              <w:rPr>
                <w:b w:val="0"/>
              </w:rPr>
              <w:t>RT-qPCR de Pcsk1. Si se dispone de anticuerpo fiable, validación proteica opcional.</w:t>
            </w:r>
          </w:p>
        </w:tc>
      </w:tr>
      <w:tr>
        <w:trPr>
          <w:cantSplit/>
        </w:trPr>
        <w:tc>
          <w:tcPr>
            <w:tcW w:type="dxa" w:w="2592"/>
            <w:vAlign w:val="center"/>
            <w:shd w:fill="D9EAF7"/>
          </w:tcPr>
          <w:p>
            <w:r/>
            <w:r>
              <w:rPr>
                <w:b w:val="0"/>
              </w:rPr>
              <w:t>Lectura de síntesis</w:t>
            </w:r>
          </w:p>
        </w:tc>
        <w:tc>
          <w:tcPr>
            <w:tcW w:type="dxa" w:w="7920"/>
            <w:vAlign w:val="center"/>
          </w:tcPr>
          <w:p>
            <w:r/>
            <w:r>
              <w:rPr>
                <w:b w:val="0"/>
              </w:rPr>
              <w:t>Pomc.</w:t>
            </w:r>
          </w:p>
        </w:tc>
      </w:tr>
      <w:tr>
        <w:trPr>
          <w:cantSplit/>
        </w:trPr>
        <w:tc>
          <w:tcPr>
            <w:tcW w:type="dxa" w:w="2592"/>
            <w:vAlign w:val="center"/>
            <w:shd w:fill="D9EAF7"/>
          </w:tcPr>
          <w:p>
            <w:r/>
            <w:r>
              <w:rPr>
                <w:b w:val="0"/>
              </w:rPr>
              <w:t>Lectura funcional principal</w:t>
            </w:r>
          </w:p>
        </w:tc>
        <w:tc>
          <w:tcPr>
            <w:tcW w:type="dxa" w:w="7920"/>
            <w:vAlign w:val="center"/>
          </w:tcPr>
          <w:p>
            <w:r/>
            <w:r>
              <w:rPr>
                <w:b w:val="0"/>
              </w:rPr>
              <w:t>ACTH en sobrenadante, normalizada.</w:t>
            </w:r>
          </w:p>
        </w:tc>
      </w:tr>
      <w:tr>
        <w:trPr>
          <w:cantSplit/>
        </w:trPr>
        <w:tc>
          <w:tcPr>
            <w:tcW w:type="dxa" w:w="2592"/>
            <w:vAlign w:val="center"/>
            <w:shd w:fill="D9EAF7"/>
          </w:tcPr>
          <w:p>
            <w:r/>
            <w:r>
              <w:rPr>
                <w:b w:val="0"/>
              </w:rPr>
              <w:t>Control opcional</w:t>
            </w:r>
          </w:p>
        </w:tc>
        <w:tc>
          <w:tcPr>
            <w:tcW w:type="dxa" w:w="7920"/>
            <w:vAlign w:val="center"/>
          </w:tcPr>
          <w:p>
            <w:r/>
            <w:r>
              <w:rPr>
                <w:b w:val="0"/>
              </w:rPr>
              <w:t>Tbx19 para confirmar que no se pierde necesariamente identidad de linaje.</w:t>
            </w:r>
          </w:p>
        </w:tc>
      </w:tr>
    </w:tbl>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Interpretación clave</w:t>
            </w:r>
          </w:p>
        </w:tc>
      </w:tr>
      <w:tr>
        <w:tc>
          <w:tcPr>
            <w:tcW w:type="dxa" w:w="10166"/>
            <w:vAlign w:val="center"/>
            <w:shd w:fill="E2F0D9"/>
          </w:tcPr>
          <w:p>
            <w:r/>
            <w:r>
              <w:rPr>
                <w:b w:val="0"/>
              </w:rPr>
              <w:t>El resultado más potente sería: Pcsk1 baja, ACTH baja y Pomc no cae de forma proporcional. Esto apoyaría que el fenotipo silente puede depender de un defecto de procesamiento hormonal, no de una pérdida completa del programa corticotropo.</w:t>
            </w:r>
          </w:p>
        </w:tc>
      </w:tr>
    </w:tbl>
    <w:p/>
    <w:p>
      <w:pPr>
        <w:pStyle w:val="Heading1"/>
      </w:pPr>
      <w:r>
        <w:t>8. Reglas técnicas comunes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2160"/>
            <w:vAlign w:val="center"/>
            <w:shd w:fill="1F4E79"/>
          </w:tcPr>
          <w:p>
            <w:r/>
            <w:r>
              <w:rPr>
                <w:b/>
                <w:color w:val="FFFFFF"/>
              </w:rPr>
              <w:t>Punto</w:t>
            </w:r>
          </w:p>
        </w:tc>
        <w:tc>
          <w:tcPr>
            <w:tcW w:type="dxa" w:w="8352"/>
            <w:vAlign w:val="center"/>
            <w:shd w:fill="1F4E79"/>
          </w:tcPr>
          <w:p>
            <w:r/>
            <w:r>
              <w:rPr>
                <w:b/>
                <w:color w:val="FFFFFF"/>
              </w:rPr>
              <w:t>Recomendación</w:t>
            </w:r>
          </w:p>
        </w:tc>
      </w:tr>
      <w:tr>
        <w:trPr>
          <w:cantSplit/>
        </w:trPr>
        <w:tc>
          <w:tcPr>
            <w:tcW w:type="dxa" w:w="2160"/>
            <w:vAlign w:val="center"/>
            <w:shd w:fill="D9EAF7"/>
          </w:tcPr>
          <w:p>
            <w:r/>
            <w:r>
              <w:rPr>
                <w:b w:val="0"/>
              </w:rPr>
              <w:t>Control de transfección</w:t>
            </w:r>
          </w:p>
        </w:tc>
        <w:tc>
          <w:tcPr>
            <w:tcW w:type="dxa" w:w="8352"/>
            <w:vAlign w:val="center"/>
          </w:tcPr>
          <w:p>
            <w:r/>
            <w:r>
              <w:rPr>
                <w:b w:val="0"/>
              </w:rPr>
              <w:t>Usar siempre siControl. No comparar siRNA específico contra células sin transfectar como único control.</w:t>
            </w:r>
          </w:p>
        </w:tc>
      </w:tr>
      <w:tr>
        <w:trPr>
          <w:cantSplit/>
        </w:trPr>
        <w:tc>
          <w:tcPr>
            <w:tcW w:type="dxa" w:w="2160"/>
            <w:vAlign w:val="center"/>
            <w:shd w:fill="D9EAF7"/>
          </w:tcPr>
          <w:p>
            <w:r/>
            <w:r>
              <w:rPr>
                <w:b w:val="0"/>
              </w:rPr>
              <w:t>Réplicas</w:t>
            </w:r>
          </w:p>
        </w:tc>
        <w:tc>
          <w:tcPr>
            <w:tcW w:type="dxa" w:w="8352"/>
            <w:vAlign w:val="center"/>
          </w:tcPr>
          <w:p>
            <w:r/>
            <w:r>
              <w:rPr>
                <w:b w:val="0"/>
              </w:rPr>
              <w:t>Mínimo 3 réplicas biológicas por condición. Si hay recursos, repetir el experimento completo en una segunda tanda.</w:t>
            </w:r>
          </w:p>
        </w:tc>
      </w:tr>
      <w:tr>
        <w:trPr>
          <w:cantSplit/>
        </w:trPr>
        <w:tc>
          <w:tcPr>
            <w:tcW w:type="dxa" w:w="2160"/>
            <w:vAlign w:val="center"/>
            <w:shd w:fill="D9EAF7"/>
          </w:tcPr>
          <w:p>
            <w:r/>
            <w:r>
              <w:rPr>
                <w:b w:val="0"/>
              </w:rPr>
              <w:t>ACTH</w:t>
            </w:r>
          </w:p>
        </w:tc>
        <w:tc>
          <w:tcPr>
            <w:tcW w:type="dxa" w:w="8352"/>
            <w:vAlign w:val="center"/>
          </w:tcPr>
          <w:p>
            <w:r/>
            <w:r>
              <w:rPr>
                <w:b w:val="0"/>
              </w:rPr>
              <w:t>Medir ACTH en sobrenadante por ELISA y normalizar por proteína total, número celular o viabilidad.</w:t>
            </w:r>
          </w:p>
        </w:tc>
      </w:tr>
      <w:tr>
        <w:trPr>
          <w:cantSplit/>
        </w:trPr>
        <w:tc>
          <w:tcPr>
            <w:tcW w:type="dxa" w:w="2160"/>
            <w:vAlign w:val="center"/>
            <w:shd w:fill="D9EAF7"/>
          </w:tcPr>
          <w:p>
            <w:r/>
            <w:r>
              <w:rPr>
                <w:b w:val="0"/>
              </w:rPr>
              <w:t>Viabilidad</w:t>
            </w:r>
          </w:p>
        </w:tc>
        <w:tc>
          <w:tcPr>
            <w:tcW w:type="dxa" w:w="8352"/>
            <w:vAlign w:val="center"/>
          </w:tcPr>
          <w:p>
            <w:r/>
            <w:r>
              <w:rPr>
                <w:b w:val="0"/>
              </w:rPr>
              <w:t>Medir viabilidad o celularidad en paralelo para no interpretar toxicidad como menor secreción hormonal.</w:t>
            </w:r>
          </w:p>
        </w:tc>
      </w:tr>
      <w:tr>
        <w:trPr>
          <w:cantSplit/>
        </w:trPr>
        <w:tc>
          <w:tcPr>
            <w:tcW w:type="dxa" w:w="2160"/>
            <w:vAlign w:val="center"/>
            <w:shd w:fill="D9EAF7"/>
          </w:tcPr>
          <w:p>
            <w:r/>
            <w:r>
              <w:rPr>
                <w:b w:val="0"/>
              </w:rPr>
              <w:t>Housekeeping</w:t>
            </w:r>
          </w:p>
        </w:tc>
        <w:tc>
          <w:tcPr>
            <w:tcW w:type="dxa" w:w="8352"/>
            <w:vAlign w:val="center"/>
          </w:tcPr>
          <w:p>
            <w:r/>
            <w:r>
              <w:rPr>
                <w:b w:val="0"/>
              </w:rPr>
              <w:t>Usar housekeeping estable para qPCR. Mantener el mismo método de normalización en todos los experimentos.</w:t>
            </w:r>
          </w:p>
        </w:tc>
      </w:tr>
      <w:tr>
        <w:trPr>
          <w:cantSplit/>
        </w:trPr>
        <w:tc>
          <w:tcPr>
            <w:tcW w:type="dxa" w:w="2160"/>
            <w:vAlign w:val="center"/>
            <w:shd w:fill="D9EAF7"/>
          </w:tcPr>
          <w:p>
            <w:r/>
            <w:r>
              <w:rPr>
                <w:b w:val="0"/>
              </w:rPr>
              <w:t>Rango de pase</w:t>
            </w:r>
          </w:p>
        </w:tc>
        <w:tc>
          <w:tcPr>
            <w:tcW w:type="dxa" w:w="8352"/>
            <w:vAlign w:val="center"/>
          </w:tcPr>
          <w:p>
            <w:r/>
            <w:r>
              <w:rPr>
                <w:b w:val="0"/>
              </w:rPr>
              <w:t>Usar el mismo rango de pase para todos los ensayos definitivos. Registrar pase exacto en cada placa.</w:t>
            </w:r>
          </w:p>
        </w:tc>
      </w:tr>
      <w:tr>
        <w:trPr>
          <w:cantSplit/>
        </w:trPr>
        <w:tc>
          <w:tcPr>
            <w:tcW w:type="dxa" w:w="2160"/>
            <w:vAlign w:val="center"/>
            <w:shd w:fill="D9EAF7"/>
          </w:tcPr>
          <w:p>
            <w:r/>
            <w:r>
              <w:rPr>
                <w:b w:val="0"/>
              </w:rPr>
              <w:t>Dosis</w:t>
            </w:r>
          </w:p>
        </w:tc>
        <w:tc>
          <w:tcPr>
            <w:tcW w:type="dxa" w:w="8352"/>
            <w:vAlign w:val="center"/>
          </w:tcPr>
          <w:p>
            <w:r/>
            <w:r>
              <w:rPr>
                <w:b w:val="0"/>
              </w:rPr>
              <w:t>CRH 10 nM y dexametasona 100 nM como condiciones principales. No abrir una matriz extensa de dosis salvo que falle la respuesta.</w:t>
            </w:r>
          </w:p>
        </w:tc>
      </w:tr>
      <w:tr>
        <w:trPr>
          <w:cantSplit/>
        </w:trPr>
        <w:tc>
          <w:tcPr>
            <w:tcW w:type="dxa" w:w="2160"/>
            <w:vAlign w:val="center"/>
            <w:shd w:fill="D9EAF7"/>
          </w:tcPr>
          <w:p>
            <w:r/>
            <w:r>
              <w:rPr>
                <w:b w:val="0"/>
              </w:rPr>
              <w:t>Tiempo</w:t>
            </w:r>
          </w:p>
        </w:tc>
        <w:tc>
          <w:tcPr>
            <w:tcW w:type="dxa" w:w="8352"/>
            <w:vAlign w:val="center"/>
          </w:tcPr>
          <w:p>
            <w:r/>
            <w:r>
              <w:rPr>
                <w:b w:val="0"/>
              </w:rPr>
              <w:t>Preferir un diseño simple y reproducible. Si no se puede incluir doble tiempo, usar 24 h para RNA y ACTH.</w:t>
            </w:r>
          </w:p>
        </w:tc>
      </w:tr>
    </w:tbl>
    <w:p/>
    <w:p>
      <w:pPr>
        <w:pStyle w:val="Heading1"/>
      </w:pPr>
      <w:r>
        <w:t>9. Panel mínimo de variables</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2160"/>
            <w:vAlign w:val="center"/>
            <w:shd w:fill="1F4E79"/>
          </w:tcPr>
          <w:p>
            <w:r/>
            <w:r>
              <w:rPr>
                <w:b/>
                <w:color w:val="FFFFFF"/>
              </w:rPr>
              <w:t>Variable</w:t>
            </w:r>
          </w:p>
        </w:tc>
        <w:tc>
          <w:tcPr>
            <w:tcW w:type="dxa" w:w="3816"/>
            <w:vAlign w:val="center"/>
            <w:shd w:fill="1F4E79"/>
          </w:tcPr>
          <w:p>
            <w:r/>
            <w:r>
              <w:rPr>
                <w:b/>
                <w:color w:val="FFFFFF"/>
              </w:rPr>
              <w:t>Uso principal</w:t>
            </w:r>
          </w:p>
        </w:tc>
        <w:tc>
          <w:tcPr>
            <w:tcW w:type="dxa" w:w="4608"/>
            <w:vAlign w:val="center"/>
            <w:shd w:fill="1F4E79"/>
          </w:tcPr>
          <w:p>
            <w:r/>
            <w:r>
              <w:rPr>
                <w:b/>
                <w:color w:val="FFFFFF"/>
              </w:rPr>
              <w:t>Experimentos donde es prioritaria</w:t>
            </w:r>
          </w:p>
        </w:tc>
      </w:tr>
      <w:tr>
        <w:trPr>
          <w:cantSplit/>
        </w:trPr>
        <w:tc>
          <w:tcPr>
            <w:tcW w:type="dxa" w:w="2160"/>
            <w:vAlign w:val="center"/>
            <w:shd w:fill="D9EAF7"/>
          </w:tcPr>
          <w:p>
            <w:r/>
            <w:r>
              <w:rPr>
                <w:b w:val="0"/>
              </w:rPr>
              <w:t>ACTH en sobrenadante</w:t>
            </w:r>
          </w:p>
        </w:tc>
        <w:tc>
          <w:tcPr>
            <w:tcW w:type="dxa" w:w="3816"/>
            <w:vAlign w:val="center"/>
          </w:tcPr>
          <w:p>
            <w:r/>
            <w:r>
              <w:rPr>
                <w:b w:val="0"/>
              </w:rPr>
              <w:t>Variable funcional principal</w:t>
            </w:r>
          </w:p>
        </w:tc>
        <w:tc>
          <w:tcPr>
            <w:tcW w:type="dxa" w:w="4608"/>
            <w:vAlign w:val="center"/>
          </w:tcPr>
          <w:p>
            <w:r/>
            <w:r>
              <w:rPr>
                <w:b w:val="0"/>
              </w:rPr>
              <w:t>Todos</w:t>
            </w:r>
          </w:p>
        </w:tc>
      </w:tr>
      <w:tr>
        <w:trPr>
          <w:cantSplit/>
        </w:trPr>
        <w:tc>
          <w:tcPr>
            <w:tcW w:type="dxa" w:w="2160"/>
            <w:vAlign w:val="center"/>
            <w:shd w:fill="D9EAF7"/>
          </w:tcPr>
          <w:p>
            <w:r/>
            <w:r>
              <w:rPr>
                <w:b w:val="0"/>
              </w:rPr>
              <w:t>Pomc</w:t>
            </w:r>
          </w:p>
        </w:tc>
        <w:tc>
          <w:tcPr>
            <w:tcW w:type="dxa" w:w="3816"/>
            <w:vAlign w:val="center"/>
          </w:tcPr>
          <w:p>
            <w:r/>
            <w:r>
              <w:rPr>
                <w:b w:val="0"/>
              </w:rPr>
              <w:t>Síntesis del precursor corticotropo</w:t>
            </w:r>
          </w:p>
        </w:tc>
        <w:tc>
          <w:tcPr>
            <w:tcW w:type="dxa" w:w="4608"/>
            <w:vAlign w:val="center"/>
          </w:tcPr>
          <w:p>
            <w:r/>
            <w:r>
              <w:rPr>
                <w:b w:val="0"/>
              </w:rPr>
              <w:t>CRH/Dexa, siNR3C1, siPCSK1</w:t>
            </w:r>
          </w:p>
        </w:tc>
      </w:tr>
      <w:tr>
        <w:trPr>
          <w:cantSplit/>
        </w:trPr>
        <w:tc>
          <w:tcPr>
            <w:tcW w:type="dxa" w:w="2160"/>
            <w:vAlign w:val="center"/>
            <w:shd w:fill="D9EAF7"/>
          </w:tcPr>
          <w:p>
            <w:r/>
            <w:r>
              <w:rPr>
                <w:b w:val="0"/>
              </w:rPr>
              <w:t>Pcsk1</w:t>
            </w:r>
          </w:p>
        </w:tc>
        <w:tc>
          <w:tcPr>
            <w:tcW w:type="dxa" w:w="3816"/>
            <w:vAlign w:val="center"/>
          </w:tcPr>
          <w:p>
            <w:r/>
            <w:r>
              <w:rPr>
                <w:b w:val="0"/>
              </w:rPr>
              <w:t>Procesamiento POMC -&gt; ACTH</w:t>
            </w:r>
          </w:p>
        </w:tc>
        <w:tc>
          <w:tcPr>
            <w:tcW w:type="dxa" w:w="4608"/>
            <w:vAlign w:val="center"/>
          </w:tcPr>
          <w:p>
            <w:r/>
            <w:r>
              <w:rPr>
                <w:b w:val="0"/>
              </w:rPr>
              <w:t>Basal, siPCSK1, CRH/Dexa</w:t>
            </w:r>
          </w:p>
        </w:tc>
      </w:tr>
      <w:tr>
        <w:trPr>
          <w:cantSplit/>
        </w:trPr>
        <w:tc>
          <w:tcPr>
            <w:tcW w:type="dxa" w:w="2160"/>
            <w:vAlign w:val="center"/>
            <w:shd w:fill="D9EAF7"/>
          </w:tcPr>
          <w:p>
            <w:r/>
            <w:r>
              <w:rPr>
                <w:b w:val="0"/>
              </w:rPr>
              <w:t>Nr3c1</w:t>
            </w:r>
          </w:p>
        </w:tc>
        <w:tc>
          <w:tcPr>
            <w:tcW w:type="dxa" w:w="3816"/>
            <w:vAlign w:val="center"/>
          </w:tcPr>
          <w:p>
            <w:r/>
            <w:r>
              <w:rPr>
                <w:b w:val="0"/>
              </w:rPr>
              <w:t>Receptor de glucocorticoides</w:t>
            </w:r>
          </w:p>
        </w:tc>
        <w:tc>
          <w:tcPr>
            <w:tcW w:type="dxa" w:w="4608"/>
            <w:vAlign w:val="center"/>
          </w:tcPr>
          <w:p>
            <w:r/>
            <w:r>
              <w:rPr>
                <w:b w:val="0"/>
              </w:rPr>
              <w:t>Basal, siNR3C1, CRH/Dexa</w:t>
            </w:r>
          </w:p>
        </w:tc>
      </w:tr>
      <w:tr>
        <w:trPr>
          <w:cantSplit/>
        </w:trPr>
        <w:tc>
          <w:tcPr>
            <w:tcW w:type="dxa" w:w="2160"/>
            <w:vAlign w:val="center"/>
            <w:shd w:fill="D9EAF7"/>
          </w:tcPr>
          <w:p>
            <w:r/>
            <w:r>
              <w:rPr>
                <w:b w:val="0"/>
              </w:rPr>
              <w:t>Fkbp5</w:t>
            </w:r>
          </w:p>
        </w:tc>
        <w:tc>
          <w:tcPr>
            <w:tcW w:type="dxa" w:w="3816"/>
            <w:vAlign w:val="center"/>
          </w:tcPr>
          <w:p>
            <w:r/>
            <w:r>
              <w:rPr>
                <w:b w:val="0"/>
              </w:rPr>
              <w:t>Lectura funcional de activación GR</w:t>
            </w:r>
          </w:p>
        </w:tc>
        <w:tc>
          <w:tcPr>
            <w:tcW w:type="dxa" w:w="4608"/>
            <w:vAlign w:val="center"/>
          </w:tcPr>
          <w:p>
            <w:r/>
            <w:r>
              <w:rPr>
                <w:b w:val="0"/>
              </w:rPr>
              <w:t>Dexametasona, siNR3C1</w:t>
            </w:r>
          </w:p>
        </w:tc>
      </w:tr>
      <w:tr>
        <w:trPr>
          <w:cantSplit/>
        </w:trPr>
        <w:tc>
          <w:tcPr>
            <w:tcW w:type="dxa" w:w="2160"/>
            <w:vAlign w:val="center"/>
            <w:shd w:fill="D9EAF7"/>
          </w:tcPr>
          <w:p>
            <w:r/>
            <w:r>
              <w:rPr>
                <w:b w:val="0"/>
              </w:rPr>
              <w:t>Crhr1</w:t>
            </w:r>
          </w:p>
        </w:tc>
        <w:tc>
          <w:tcPr>
            <w:tcW w:type="dxa" w:w="3816"/>
            <w:vAlign w:val="center"/>
          </w:tcPr>
          <w:p>
            <w:r/>
            <w:r>
              <w:rPr>
                <w:b w:val="0"/>
              </w:rPr>
              <w:t>Entrada upstream CRH</w:t>
            </w:r>
          </w:p>
        </w:tc>
        <w:tc>
          <w:tcPr>
            <w:tcW w:type="dxa" w:w="4608"/>
            <w:vAlign w:val="center"/>
          </w:tcPr>
          <w:p>
            <w:r/>
            <w:r>
              <w:rPr>
                <w:b w:val="0"/>
              </w:rPr>
              <w:t>Basal, CRH/Dexa</w:t>
            </w:r>
          </w:p>
        </w:tc>
      </w:tr>
      <w:tr>
        <w:trPr>
          <w:cantSplit/>
        </w:trPr>
        <w:tc>
          <w:tcPr>
            <w:tcW w:type="dxa" w:w="2160"/>
            <w:vAlign w:val="center"/>
            <w:shd w:fill="D9EAF7"/>
          </w:tcPr>
          <w:p>
            <w:r/>
            <w:r>
              <w:rPr>
                <w:b w:val="0"/>
              </w:rPr>
              <w:t>Avpr1b</w:t>
            </w:r>
          </w:p>
        </w:tc>
        <w:tc>
          <w:tcPr>
            <w:tcW w:type="dxa" w:w="3816"/>
            <w:vAlign w:val="center"/>
          </w:tcPr>
          <w:p>
            <w:r/>
            <w:r>
              <w:rPr>
                <w:b w:val="0"/>
              </w:rPr>
              <w:t>Contexto de señalización upstream alternativa</w:t>
            </w:r>
          </w:p>
        </w:tc>
        <w:tc>
          <w:tcPr>
            <w:tcW w:type="dxa" w:w="4608"/>
            <w:vAlign w:val="center"/>
          </w:tcPr>
          <w:p>
            <w:r/>
            <w:r>
              <w:rPr>
                <w:b w:val="0"/>
              </w:rPr>
              <w:t>Basal, opcional en qPCR final</w:t>
            </w:r>
          </w:p>
        </w:tc>
      </w:tr>
      <w:tr>
        <w:trPr>
          <w:cantSplit/>
        </w:trPr>
        <w:tc>
          <w:tcPr>
            <w:tcW w:type="dxa" w:w="2160"/>
            <w:vAlign w:val="center"/>
            <w:shd w:fill="D9EAF7"/>
          </w:tcPr>
          <w:p>
            <w:r/>
            <w:r>
              <w:rPr>
                <w:b w:val="0"/>
              </w:rPr>
              <w:t>Tbx19</w:t>
            </w:r>
          </w:p>
        </w:tc>
        <w:tc>
          <w:tcPr>
            <w:tcW w:type="dxa" w:w="3816"/>
            <w:vAlign w:val="center"/>
          </w:tcPr>
          <w:p>
            <w:r/>
            <w:r>
              <w:rPr>
                <w:b w:val="0"/>
              </w:rPr>
              <w:t>Identidad corticotropa</w:t>
            </w:r>
          </w:p>
        </w:tc>
        <w:tc>
          <w:tcPr>
            <w:tcW w:type="dxa" w:w="4608"/>
            <w:vAlign w:val="center"/>
          </w:tcPr>
          <w:p>
            <w:r/>
            <w:r>
              <w:rPr>
                <w:b w:val="0"/>
              </w:rPr>
              <w:t>Opcional como control de linaje</w:t>
            </w:r>
          </w:p>
        </w:tc>
      </w:tr>
    </w:tbl>
    <w:p/>
    <w:p>
      <w:pPr>
        <w:pStyle w:val="Heading1"/>
      </w:pPr>
      <w:r>
        <w:t>10. Plan práctico de cultivos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448"/>
            <w:vAlign w:val="center"/>
            <w:shd w:fill="1F4E79"/>
          </w:tcPr>
          <w:p>
            <w:r/>
            <w:r>
              <w:rPr>
                <w:b/>
                <w:color w:val="FFFFFF"/>
              </w:rPr>
              <w:t>Bloque</w:t>
            </w:r>
          </w:p>
        </w:tc>
        <w:tc>
          <w:tcPr>
            <w:tcW w:type="dxa" w:w="4608"/>
            <w:vAlign w:val="center"/>
            <w:shd w:fill="1F4E79"/>
          </w:tcPr>
          <w:p>
            <w:r/>
            <w:r>
              <w:rPr>
                <w:b/>
                <w:color w:val="FFFFFF"/>
              </w:rPr>
              <w:t>Condiciones</w:t>
            </w:r>
          </w:p>
        </w:tc>
        <w:tc>
          <w:tcPr>
            <w:tcW w:type="dxa" w:w="1440"/>
            <w:vAlign w:val="center"/>
            <w:shd w:fill="1F4E79"/>
          </w:tcPr>
          <w:p>
            <w:r/>
            <w:r>
              <w:rPr>
                <w:b/>
                <w:color w:val="FFFFFF"/>
              </w:rPr>
              <w:t>Réplicas</w:t>
            </w:r>
          </w:p>
        </w:tc>
        <w:tc>
          <w:tcPr>
            <w:tcW w:type="dxa" w:w="2160"/>
            <w:vAlign w:val="center"/>
            <w:shd w:fill="1F4E79"/>
          </w:tcPr>
          <w:p>
            <w:r/>
            <w:r>
              <w:rPr>
                <w:b/>
                <w:color w:val="FFFFFF"/>
              </w:rPr>
              <w:t>Número mínimo de wells</w:t>
            </w:r>
          </w:p>
        </w:tc>
      </w:tr>
      <w:tr>
        <w:trPr>
          <w:cantSplit/>
        </w:trPr>
        <w:tc>
          <w:tcPr>
            <w:tcW w:type="dxa" w:w="2448"/>
            <w:vAlign w:val="center"/>
            <w:shd w:fill="D9EAF7"/>
          </w:tcPr>
          <w:p>
            <w:r/>
            <w:r>
              <w:rPr>
                <w:b w:val="0"/>
              </w:rPr>
              <w:t>Basal por pase</w:t>
            </w:r>
          </w:p>
        </w:tc>
        <w:tc>
          <w:tcPr>
            <w:tcW w:type="dxa" w:w="4608"/>
            <w:vAlign w:val="center"/>
          </w:tcPr>
          <w:p>
            <w:r/>
            <w:r>
              <w:rPr>
                <w:b w:val="0"/>
              </w:rPr>
              <w:t>2 pases o 1 pase documentado si no hay alternativa</w:t>
            </w:r>
          </w:p>
        </w:tc>
        <w:tc>
          <w:tcPr>
            <w:tcW w:type="dxa" w:w="1440"/>
            <w:vAlign w:val="center"/>
          </w:tcPr>
          <w:p>
            <w:r/>
            <w:r>
              <w:rPr>
                <w:b w:val="0"/>
              </w:rPr>
              <w:t>3 por pase</w:t>
            </w:r>
          </w:p>
        </w:tc>
        <w:tc>
          <w:tcPr>
            <w:tcW w:type="dxa" w:w="2160"/>
            <w:vAlign w:val="center"/>
          </w:tcPr>
          <w:p>
            <w:r/>
            <w:r>
              <w:rPr>
                <w:b w:val="0"/>
              </w:rPr>
              <w:t>6 si hay 2 pases; 3 si solo hay 1 pase</w:t>
            </w:r>
          </w:p>
        </w:tc>
      </w:tr>
      <w:tr>
        <w:trPr>
          <w:cantSplit/>
        </w:trPr>
        <w:tc>
          <w:tcPr>
            <w:tcW w:type="dxa" w:w="2448"/>
            <w:vAlign w:val="center"/>
            <w:shd w:fill="D9EAF7"/>
          </w:tcPr>
          <w:p>
            <w:r/>
            <w:r>
              <w:rPr>
                <w:b w:val="0"/>
              </w:rPr>
              <w:t>CRH/Dexa</w:t>
            </w:r>
          </w:p>
        </w:tc>
        <w:tc>
          <w:tcPr>
            <w:tcW w:type="dxa" w:w="4608"/>
            <w:vAlign w:val="center"/>
          </w:tcPr>
          <w:p>
            <w:r/>
            <w:r>
              <w:rPr>
                <w:b w:val="0"/>
              </w:rPr>
              <w:t>Vehículo, CRH, Dexa, CRH+Dexa</w:t>
            </w:r>
          </w:p>
        </w:tc>
        <w:tc>
          <w:tcPr>
            <w:tcW w:type="dxa" w:w="1440"/>
            <w:vAlign w:val="center"/>
          </w:tcPr>
          <w:p>
            <w:r/>
            <w:r>
              <w:rPr>
                <w:b w:val="0"/>
              </w:rPr>
              <w:t>3</w:t>
            </w:r>
          </w:p>
        </w:tc>
        <w:tc>
          <w:tcPr>
            <w:tcW w:type="dxa" w:w="2160"/>
            <w:vAlign w:val="center"/>
          </w:tcPr>
          <w:p>
            <w:r/>
            <w:r>
              <w:rPr>
                <w:b w:val="0"/>
              </w:rPr>
              <w:t>12</w:t>
            </w:r>
          </w:p>
        </w:tc>
      </w:tr>
      <w:tr>
        <w:trPr>
          <w:cantSplit/>
        </w:trPr>
        <w:tc>
          <w:tcPr>
            <w:tcW w:type="dxa" w:w="2448"/>
            <w:vAlign w:val="center"/>
            <w:shd w:fill="D9EAF7"/>
          </w:tcPr>
          <w:p>
            <w:r/>
            <w:r>
              <w:rPr>
                <w:b w:val="0"/>
              </w:rPr>
              <w:t>siNR3C1</w:t>
            </w:r>
          </w:p>
        </w:tc>
        <w:tc>
          <w:tcPr>
            <w:tcW w:type="dxa" w:w="4608"/>
            <w:vAlign w:val="center"/>
          </w:tcPr>
          <w:p>
            <w:r/>
            <w:r>
              <w:rPr>
                <w:b w:val="0"/>
              </w:rPr>
              <w:t>siControl +/- Dexa; siNR3C1 +/- Dexa</w:t>
            </w:r>
          </w:p>
        </w:tc>
        <w:tc>
          <w:tcPr>
            <w:tcW w:type="dxa" w:w="1440"/>
            <w:vAlign w:val="center"/>
          </w:tcPr>
          <w:p>
            <w:r/>
            <w:r>
              <w:rPr>
                <w:b w:val="0"/>
              </w:rPr>
              <w:t>3</w:t>
            </w:r>
          </w:p>
        </w:tc>
        <w:tc>
          <w:tcPr>
            <w:tcW w:type="dxa" w:w="2160"/>
            <w:vAlign w:val="center"/>
          </w:tcPr>
          <w:p>
            <w:r/>
            <w:r>
              <w:rPr>
                <w:b w:val="0"/>
              </w:rPr>
              <w:t>12</w:t>
            </w:r>
          </w:p>
        </w:tc>
      </w:tr>
      <w:tr>
        <w:trPr>
          <w:cantSplit/>
        </w:trPr>
        <w:tc>
          <w:tcPr>
            <w:tcW w:type="dxa" w:w="2448"/>
            <w:vAlign w:val="center"/>
            <w:shd w:fill="D9EAF7"/>
          </w:tcPr>
          <w:p>
            <w:r/>
            <w:r>
              <w:rPr>
                <w:b w:val="0"/>
              </w:rPr>
              <w:t>siPCSK1</w:t>
            </w:r>
          </w:p>
        </w:tc>
        <w:tc>
          <w:tcPr>
            <w:tcW w:type="dxa" w:w="4608"/>
            <w:vAlign w:val="center"/>
          </w:tcPr>
          <w:p>
            <w:r/>
            <w:r>
              <w:rPr>
                <w:b w:val="0"/>
              </w:rPr>
              <w:t>siControl +/- CRH; siPCSK1 +/- CRH</w:t>
            </w:r>
          </w:p>
        </w:tc>
        <w:tc>
          <w:tcPr>
            <w:tcW w:type="dxa" w:w="1440"/>
            <w:vAlign w:val="center"/>
          </w:tcPr>
          <w:p>
            <w:r/>
            <w:r>
              <w:rPr>
                <w:b w:val="0"/>
              </w:rPr>
              <w:t>3</w:t>
            </w:r>
          </w:p>
        </w:tc>
        <w:tc>
          <w:tcPr>
            <w:tcW w:type="dxa" w:w="2160"/>
            <w:vAlign w:val="center"/>
          </w:tcPr>
          <w:p>
            <w:r/>
            <w:r>
              <w:rPr>
                <w:b w:val="0"/>
              </w:rPr>
              <w:t>12</w:t>
            </w:r>
          </w:p>
        </w:tc>
      </w:tr>
      <w:tr>
        <w:trPr>
          <w:cantSplit/>
        </w:trPr>
        <w:tc>
          <w:tcPr>
            <w:tcW w:type="dxa" w:w="2448"/>
            <w:vAlign w:val="center"/>
            <w:shd w:fill="D9EAF7"/>
          </w:tcPr>
          <w:p>
            <w:r/>
            <w:r>
              <w:rPr>
                <w:b w:val="0"/>
              </w:rPr>
              <w:t>Total mínimo</w:t>
            </w:r>
          </w:p>
        </w:tc>
        <w:tc>
          <w:tcPr>
            <w:tcW w:type="dxa" w:w="4608"/>
            <w:vAlign w:val="center"/>
          </w:tcPr>
          <w:p>
            <w:r/>
            <w:r>
              <w:rPr>
                <w:b w:val="0"/>
              </w:rPr>
              <w:t>Sin duplicar tiempos</w:t>
            </w:r>
          </w:p>
        </w:tc>
        <w:tc>
          <w:tcPr>
            <w:tcW w:type="dxa" w:w="1440"/>
            <w:vAlign w:val="center"/>
          </w:tcPr>
          <w:p>
            <w:r/>
            <w:r>
              <w:rPr>
                <w:b w:val="0"/>
              </w:rPr>
              <w:t>-</w:t>
            </w:r>
          </w:p>
        </w:tc>
        <w:tc>
          <w:tcPr>
            <w:tcW w:type="dxa" w:w="2160"/>
            <w:vAlign w:val="center"/>
          </w:tcPr>
          <w:p>
            <w:r/>
            <w:r>
              <w:rPr>
                <w:b w:val="0"/>
              </w:rPr>
              <w:t>39-42 wells, según basal</w:t>
            </w:r>
          </w:p>
        </w:tc>
      </w:tr>
    </w:tbl>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Recomendación operativa</w:t>
            </w:r>
          </w:p>
        </w:tc>
      </w:tr>
      <w:tr>
        <w:tc>
          <w:tcPr>
            <w:tcW w:type="dxa" w:w="10166"/>
            <w:vAlign w:val="center"/>
            <w:shd w:fill="FFF2CC"/>
          </w:tcPr>
          <w:p>
            <w:r/>
            <w:r>
              <w:rPr>
                <w:b w:val="0"/>
              </w:rPr>
              <w:t>Si el laboratorio dispone de recursos limitados, ejecutar primero CRH/Dexa. Si AtT-20 no responde a CRH ni a dexametasona, no tiene sentido avanzar a siRNA sin revisar pase, densidad, tiempos o viabilidad. Si responde adecuadamente, ejecutar siNR3C1 y siPCSK1 como experimentos prioritarios.</w:t>
            </w:r>
          </w:p>
        </w:tc>
      </w:tr>
    </w:tbl>
    <w:p/>
    <w:p>
      <w:pPr>
        <w:pStyle w:val="Heading1"/>
      </w:pPr>
      <w:r>
        <w:t>11. Criterios de validez e interpretación</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456"/>
            <w:vAlign w:val="center"/>
            <w:shd w:fill="1F4E79"/>
          </w:tcPr>
          <w:p>
            <w:r/>
            <w:r>
              <w:rPr>
                <w:b/>
                <w:color w:val="FFFFFF"/>
              </w:rPr>
              <w:t>Situación</w:t>
            </w:r>
          </w:p>
        </w:tc>
        <w:tc>
          <w:tcPr>
            <w:tcW w:type="dxa" w:w="3816"/>
            <w:vAlign w:val="center"/>
            <w:shd w:fill="1F4E79"/>
          </w:tcPr>
          <w:p>
            <w:r/>
            <w:r>
              <w:rPr>
                <w:b/>
                <w:color w:val="FFFFFF"/>
              </w:rPr>
              <w:t>Interpretación</w:t>
            </w:r>
          </w:p>
        </w:tc>
        <w:tc>
          <w:tcPr>
            <w:tcW w:type="dxa" w:w="3312"/>
            <w:vAlign w:val="center"/>
            <w:shd w:fill="1F4E79"/>
          </w:tcPr>
          <w:p>
            <w:r/>
            <w:r>
              <w:rPr>
                <w:b/>
                <w:color w:val="FFFFFF"/>
              </w:rPr>
              <w:t>Decisión</w:t>
            </w:r>
          </w:p>
        </w:tc>
      </w:tr>
      <w:tr>
        <w:trPr>
          <w:cantSplit/>
        </w:trPr>
        <w:tc>
          <w:tcPr>
            <w:tcW w:type="dxa" w:w="3456"/>
            <w:vAlign w:val="center"/>
            <w:shd w:fill="D9EAF7"/>
          </w:tcPr>
          <w:p>
            <w:r/>
            <w:r>
              <w:rPr>
                <w:b w:val="0"/>
              </w:rPr>
              <w:t>CRH aumenta ACTH/Pomc</w:t>
            </w:r>
          </w:p>
        </w:tc>
        <w:tc>
          <w:tcPr>
            <w:tcW w:type="dxa" w:w="3816"/>
            <w:vAlign w:val="center"/>
          </w:tcPr>
          <w:p>
            <w:r/>
            <w:r>
              <w:rPr>
                <w:b w:val="0"/>
              </w:rPr>
              <w:t>La vía upstream CRH/CRHR1 está funcional.</w:t>
            </w:r>
          </w:p>
        </w:tc>
        <w:tc>
          <w:tcPr>
            <w:tcW w:type="dxa" w:w="3312"/>
            <w:vAlign w:val="center"/>
          </w:tcPr>
          <w:p>
            <w:r/>
            <w:r>
              <w:rPr>
                <w:b w:val="0"/>
              </w:rPr>
              <w:t>Continuar con siPCSK1 +/- CRH.</w:t>
            </w:r>
          </w:p>
        </w:tc>
      </w:tr>
      <w:tr>
        <w:trPr>
          <w:cantSplit/>
        </w:trPr>
        <w:tc>
          <w:tcPr>
            <w:tcW w:type="dxa" w:w="3456"/>
            <w:vAlign w:val="center"/>
            <w:shd w:fill="D9EAF7"/>
          </w:tcPr>
          <w:p>
            <w:r/>
            <w:r>
              <w:rPr>
                <w:b w:val="0"/>
              </w:rPr>
              <w:t>Dexametasona induce Fkbp5</w:t>
            </w:r>
          </w:p>
        </w:tc>
        <w:tc>
          <w:tcPr>
            <w:tcW w:type="dxa" w:w="3816"/>
            <w:vAlign w:val="center"/>
          </w:tcPr>
          <w:p>
            <w:r/>
            <w:r>
              <w:rPr>
                <w:b w:val="0"/>
              </w:rPr>
              <w:t>GR/NR3C1 está funcional.</w:t>
            </w:r>
          </w:p>
        </w:tc>
        <w:tc>
          <w:tcPr>
            <w:tcW w:type="dxa" w:w="3312"/>
            <w:vAlign w:val="center"/>
          </w:tcPr>
          <w:p>
            <w:r/>
            <w:r>
              <w:rPr>
                <w:b w:val="0"/>
              </w:rPr>
              <w:t>Continuar con siNR3C1 +/- Dexa.</w:t>
            </w:r>
          </w:p>
        </w:tc>
      </w:tr>
      <w:tr>
        <w:trPr>
          <w:cantSplit/>
        </w:trPr>
        <w:tc>
          <w:tcPr>
            <w:tcW w:type="dxa" w:w="3456"/>
            <w:vAlign w:val="center"/>
            <w:shd w:fill="D9EAF7"/>
          </w:tcPr>
          <w:p>
            <w:r/>
            <w:r>
              <w:rPr>
                <w:b w:val="0"/>
              </w:rPr>
              <w:t>Dexametasona reduce Pomc/ACTH</w:t>
            </w:r>
          </w:p>
        </w:tc>
        <w:tc>
          <w:tcPr>
            <w:tcW w:type="dxa" w:w="3816"/>
            <w:vAlign w:val="center"/>
          </w:tcPr>
          <w:p>
            <w:r/>
            <w:r>
              <w:rPr>
                <w:b w:val="0"/>
              </w:rPr>
              <w:t>Existe freno glucocorticoideo operativo.</w:t>
            </w:r>
          </w:p>
        </w:tc>
        <w:tc>
          <w:tcPr>
            <w:tcW w:type="dxa" w:w="3312"/>
            <w:vAlign w:val="center"/>
          </w:tcPr>
          <w:p>
            <w:r/>
            <w:r>
              <w:rPr>
                <w:b w:val="0"/>
              </w:rPr>
              <w:t>Resultado alineado con hipótesis de silenciamiento.</w:t>
            </w:r>
          </w:p>
        </w:tc>
      </w:tr>
      <w:tr>
        <w:trPr>
          <w:cantSplit/>
        </w:trPr>
        <w:tc>
          <w:tcPr>
            <w:tcW w:type="dxa" w:w="3456"/>
            <w:vAlign w:val="center"/>
            <w:shd w:fill="D9EAF7"/>
          </w:tcPr>
          <w:p>
            <w:r/>
            <w:r>
              <w:rPr>
                <w:b w:val="0"/>
              </w:rPr>
              <w:t>siNR3C1 reduce Nr3c1 y atenúa Fkbp5</w:t>
            </w:r>
          </w:p>
        </w:tc>
        <w:tc>
          <w:tcPr>
            <w:tcW w:type="dxa" w:w="3816"/>
            <w:vAlign w:val="center"/>
          </w:tcPr>
          <w:p>
            <w:r/>
            <w:r>
              <w:rPr>
                <w:b w:val="0"/>
              </w:rPr>
              <w:t>Knockdown funcional del eje GR.</w:t>
            </w:r>
          </w:p>
        </w:tc>
        <w:tc>
          <w:tcPr>
            <w:tcW w:type="dxa" w:w="3312"/>
            <w:vAlign w:val="center"/>
          </w:tcPr>
          <w:p>
            <w:r/>
            <w:r>
              <w:rPr>
                <w:b w:val="0"/>
              </w:rPr>
              <w:t>Interpretar cambios en ACTH/Pomc como dependientes de GR.</w:t>
            </w:r>
          </w:p>
        </w:tc>
      </w:tr>
      <w:tr>
        <w:trPr>
          <w:cantSplit/>
        </w:trPr>
        <w:tc>
          <w:tcPr>
            <w:tcW w:type="dxa" w:w="3456"/>
            <w:vAlign w:val="center"/>
            <w:shd w:fill="D9EAF7"/>
          </w:tcPr>
          <w:p>
            <w:r/>
            <w:r>
              <w:rPr>
                <w:b w:val="0"/>
              </w:rPr>
              <w:t>siPCSK1 reduce ACTH sin caída proporcional de Pomc</w:t>
            </w:r>
          </w:p>
        </w:tc>
        <w:tc>
          <w:tcPr>
            <w:tcW w:type="dxa" w:w="3816"/>
            <w:vAlign w:val="center"/>
          </w:tcPr>
          <w:p>
            <w:r/>
            <w:r>
              <w:rPr>
                <w:b w:val="0"/>
              </w:rPr>
              <w:t>Defecto de procesamiento hormonal.</w:t>
            </w:r>
          </w:p>
        </w:tc>
        <w:tc>
          <w:tcPr>
            <w:tcW w:type="dxa" w:w="3312"/>
            <w:vAlign w:val="center"/>
          </w:tcPr>
          <w:p>
            <w:r/>
            <w:r>
              <w:rPr>
                <w:b w:val="0"/>
              </w:rPr>
              <w:t>Resultado mecanísticamente fuerte para la memoria.</w:t>
            </w:r>
          </w:p>
        </w:tc>
      </w:tr>
      <w:tr>
        <w:trPr>
          <w:cantSplit/>
        </w:trPr>
        <w:tc>
          <w:tcPr>
            <w:tcW w:type="dxa" w:w="3456"/>
            <w:vAlign w:val="center"/>
            <w:shd w:fill="D9EAF7"/>
          </w:tcPr>
          <w:p>
            <w:r/>
            <w:r>
              <w:rPr>
                <w:b w:val="0"/>
              </w:rPr>
              <w:t>Baja viabilidad marcada</w:t>
            </w:r>
          </w:p>
        </w:tc>
        <w:tc>
          <w:tcPr>
            <w:tcW w:type="dxa" w:w="3816"/>
            <w:vAlign w:val="center"/>
          </w:tcPr>
          <w:p>
            <w:r/>
            <w:r>
              <w:rPr>
                <w:b w:val="0"/>
              </w:rPr>
              <w:t>Posible toxicidad del tratamiento o transfección.</w:t>
            </w:r>
          </w:p>
        </w:tc>
        <w:tc>
          <w:tcPr>
            <w:tcW w:type="dxa" w:w="3312"/>
            <w:vAlign w:val="center"/>
          </w:tcPr>
          <w:p>
            <w:r/>
            <w:r>
              <w:rPr>
                <w:b w:val="0"/>
              </w:rPr>
              <w:t>No interpretar ACTH sin normalización; repetir/ajustar.</w:t>
            </w:r>
          </w:p>
        </w:tc>
      </w:tr>
      <w:tr>
        <w:trPr>
          <w:cantSplit/>
        </w:trPr>
        <w:tc>
          <w:tcPr>
            <w:tcW w:type="dxa" w:w="3456"/>
            <w:vAlign w:val="center"/>
            <w:shd w:fill="D9EAF7"/>
          </w:tcPr>
          <w:p>
            <w:r/>
            <w:r>
              <w:rPr>
                <w:b w:val="0"/>
              </w:rPr>
              <w:t>No hay respuesta a CRH ni a Dexa</w:t>
            </w:r>
          </w:p>
        </w:tc>
        <w:tc>
          <w:tcPr>
            <w:tcW w:type="dxa" w:w="3816"/>
            <w:vAlign w:val="center"/>
          </w:tcPr>
          <w:p>
            <w:r/>
            <w:r>
              <w:rPr>
                <w:b w:val="0"/>
              </w:rPr>
              <w:t>Modelo o condiciones no validadas.</w:t>
            </w:r>
          </w:p>
        </w:tc>
        <w:tc>
          <w:tcPr>
            <w:tcW w:type="dxa" w:w="3312"/>
            <w:vAlign w:val="center"/>
          </w:tcPr>
          <w:p>
            <w:r/>
            <w:r>
              <w:rPr>
                <w:b w:val="0"/>
              </w:rPr>
              <w:t>Revisar pase, densidad, lote de reactivos, tiempo de tratamiento y medio.</w:t>
            </w:r>
          </w:p>
        </w:tc>
      </w:tr>
    </w:tbl>
    <w:p/>
    <w:p>
      <w:pPr>
        <w:pStyle w:val="Heading1"/>
      </w:pPr>
      <w:r>
        <w:t>12. Decisiones que conviene cerrar en la reunión</w:t>
      </w:r>
    </w:p>
    <w:p>
      <w:pPr>
        <w:ind w:left="360" w:hanging="360"/>
      </w:pPr>
      <w:r>
        <w:rPr>
          <w:rFonts w:ascii="Arial" w:hAnsi="Arial"/>
          <w:sz w:val="20"/>
        </w:rPr>
        <w:t>1.   Número de pase actual de AtT-20 y rango máximo aceptado para los ensayos definitivos.</w:t>
      </w:r>
    </w:p>
    <w:p>
      <w:pPr>
        <w:ind w:left="360" w:hanging="360"/>
      </w:pPr>
      <w:r>
        <w:rPr>
          <w:rFonts w:ascii="Arial" w:hAnsi="Arial"/>
          <w:sz w:val="20"/>
        </w:rPr>
        <w:t>2.   Disponibilidad inmediata de CRH, dexametasona, siControl, siNR3C1, siPCSK1, reactivo de transfección y kit de ACTH.</w:t>
      </w:r>
    </w:p>
    <w:p>
      <w:pPr>
        <w:ind w:left="360" w:hanging="360"/>
      </w:pPr>
      <w:r>
        <w:rPr>
          <w:rFonts w:ascii="Arial" w:hAnsi="Arial"/>
          <w:sz w:val="20"/>
        </w:rPr>
        <w:t>3.   Formato de placa y número de células por well para garantizar RNA suficiente y sobrenadante suficiente para ELISA.</w:t>
      </w:r>
    </w:p>
    <w:p>
      <w:pPr>
        <w:ind w:left="360" w:hanging="360"/>
      </w:pPr>
      <w:r>
        <w:rPr>
          <w:rFonts w:ascii="Arial" w:hAnsi="Arial"/>
          <w:sz w:val="20"/>
        </w:rPr>
        <w:t>4.   Tiempo único de recogida: 24 h como mínimo operativo; opcional 4-6 h para ACTH si no retrasa el plan.</w:t>
      </w:r>
    </w:p>
    <w:p>
      <w:pPr>
        <w:ind w:left="360" w:hanging="360"/>
      </w:pPr>
      <w:r>
        <w:rPr>
          <w:rFonts w:ascii="Arial" w:hAnsi="Arial"/>
          <w:sz w:val="20"/>
        </w:rPr>
        <w:t>5.   Housekeeping qPCR y primers disponibles para Pomc, Pcsk1, Nr3c1, Fkbp5, Crhr1 y Avpr1b.</w:t>
      </w:r>
    </w:p>
    <w:p>
      <w:pPr>
        <w:ind w:left="360" w:hanging="360"/>
      </w:pPr>
      <w:r>
        <w:rPr>
          <w:rFonts w:ascii="Arial" w:hAnsi="Arial"/>
          <w:sz w:val="20"/>
        </w:rPr>
        <w:t>6.   Método de normalización de ACTH: proteína total, número celular o viabilidad.</w:t>
      </w:r>
    </w:p>
    <w:p>
      <w:pPr>
        <w:ind w:left="360" w:hanging="360"/>
      </w:pPr>
      <w:r>
        <w:rPr>
          <w:rFonts w:ascii="Arial" w:hAnsi="Arial"/>
          <w:sz w:val="20"/>
        </w:rPr>
        <w:t>7.   Criterio mínimo de knockdown aceptable para considerar válido siNR3C1 y siPCSK1.</w:t>
      </w:r>
    </w:p>
    <w:p>
      <w:pPr>
        <w:ind w:left="360" w:hanging="360"/>
      </w:pPr>
      <w:r>
        <w:rPr>
          <w:rFonts w:ascii="Arial" w:hAnsi="Arial"/>
          <w:sz w:val="20"/>
        </w:rPr>
        <w:t>8.   Fecha límite de entrega de resultados brutos: Ct, ELISA ACTH, viabilidad/celularidad y número de pase.</w:t>
      </w:r>
    </w:p>
    <w:p>
      <w:pPr>
        <w:pStyle w:val="Heading1"/>
      </w:pPr>
      <w:r>
        <w:t>13. Frase de alineación para el equipo</w:t>
      </w:r>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Propuesta de mensaje</w:t>
            </w:r>
          </w:p>
        </w:tc>
      </w:tr>
      <w:tr>
        <w:tc>
          <w:tcPr>
            <w:tcW w:type="dxa" w:w="10166"/>
            <w:vAlign w:val="center"/>
            <w:shd w:fill="EAF3F8"/>
          </w:tcPr>
          <w:p>
            <w:r/>
            <w:r>
              <w:rPr>
                <w:b w:val="0"/>
              </w:rPr>
              <w:t>Para cerrar esta fase del proyecto no vamos a dispersarnos validando todos los candidatos. Necesitamos una validación funcional mínima, robusta y defendible. La decisión es centrar AtT-20 en tres preguntas: si la línea responde a CRH/dexametasona, si NR3C1 actúa como freno funcional del eje corticotropo y si PCSK1 explica una caída de ACTH por defecto de procesamiento. Todo lo demás queda como extensión futura si hay tiempo, pero no debe retrasar estos ensayos.</w:t>
            </w:r>
          </w:p>
        </w:tc>
      </w:tr>
    </w:tbl>
    <w:p/>
    <w:p>
      <w:pPr>
        <w:pStyle w:val="Heading1"/>
      </w:pPr>
      <w:r>
        <w:t>14. Párrafo listo para memoria justificativa</w:t>
      </w:r>
    </w:p>
    <w:p>
      <w:r>
        <w:t>Tras la finalización de los análisis transcriptómicos, proteicos y de microRNAs, la fase funcional del proyecto se reorientará hacia un diseño mínimo en la línea AtT-20, dada la imposibilidad técnica de obtener cultivos primarios viables y reproducibles de tumores corticotropos silentes. El objetivo no será validar todos los genes candidatos, sino priorizar los nodos con mayor capacidad explicativa del fenotipo silente. Para ello se evaluará, en primer lugar, la estabilidad basal de la línea y su respuesta farmacológica a CRH y dexametasona. Posteriormente se realizarán ensayos de infraexpresión transitoria mediante siRNA de NR3C1 y PCSK1. NR3C1 permitirá estudiar la contribución causal del feedback glucocorticoideo a la represión del programa corticotropo, utilizando FKBP5 como lectura funcional de activación del receptor. PCSK1 permitirá evaluar si una menor eficiencia de procesamiento de POMC reduce la secreción de ACTH sin requerir una pérdida completa de identidad corticotropa. La variable funcional principal será ACTH en sobrenadante, normalizada por celularidad, viabilidad o contenido proteico total, junto con RT-qPCR de genes seleccionados del eje corticotropo.</w:t>
      </w:r>
    </w:p>
    <w:p>
      <w:pPr>
        <w:pStyle w:val="Heading1"/>
      </w:pPr>
      <w:r>
        <w:t>15. Nota conceptual: qué significa siNR3C1 o siPCSK1</w:t>
      </w:r>
    </w:p>
    <w:p>
      <w:r>
        <w:t>El prefijo 'si' hace referencia a siRNA, una estrategia de infraexpresión transitoria. El siRNA no elimina el gen de forma permanente; reduce temporalmente su mRNA y, por tanto, habitualmente reduce la proteína. Por eso cada experimento debe incluir un siControl, que controla el efecto inespecífico de la transfección.</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2304"/>
            <w:vAlign w:val="center"/>
            <w:shd w:fill="1F4E79"/>
          </w:tcPr>
          <w:p>
            <w:r/>
            <w:r>
              <w:rPr>
                <w:b/>
                <w:color w:val="FFFFFF"/>
              </w:rPr>
              <w:t>Término</w:t>
            </w:r>
          </w:p>
        </w:tc>
        <w:tc>
          <w:tcPr>
            <w:tcW w:type="dxa" w:w="8208"/>
            <w:vAlign w:val="center"/>
            <w:shd w:fill="1F4E79"/>
          </w:tcPr>
          <w:p>
            <w:r/>
            <w:r>
              <w:rPr>
                <w:b/>
                <w:color w:val="FFFFFF"/>
              </w:rPr>
              <w:t>Significado práctico</w:t>
            </w:r>
          </w:p>
        </w:tc>
      </w:tr>
      <w:tr>
        <w:trPr>
          <w:cantSplit/>
        </w:trPr>
        <w:tc>
          <w:tcPr>
            <w:tcW w:type="dxa" w:w="2304"/>
            <w:vAlign w:val="center"/>
            <w:shd w:fill="D9EAF7"/>
          </w:tcPr>
          <w:p>
            <w:r/>
            <w:r>
              <w:rPr>
                <w:b w:val="0"/>
              </w:rPr>
              <w:t>siControl</w:t>
            </w:r>
          </w:p>
        </w:tc>
        <w:tc>
          <w:tcPr>
            <w:tcW w:type="dxa" w:w="8208"/>
            <w:vAlign w:val="center"/>
          </w:tcPr>
          <w:p>
            <w:r/>
            <w:r>
              <w:rPr>
                <w:b w:val="0"/>
              </w:rPr>
              <w:t>RNA control no dirigido. Controla manipulación, reactivo y estrés de transfección.</w:t>
            </w:r>
          </w:p>
        </w:tc>
      </w:tr>
      <w:tr>
        <w:trPr>
          <w:cantSplit/>
        </w:trPr>
        <w:tc>
          <w:tcPr>
            <w:tcW w:type="dxa" w:w="2304"/>
            <w:vAlign w:val="center"/>
            <w:shd w:fill="D9EAF7"/>
          </w:tcPr>
          <w:p>
            <w:r/>
            <w:r>
              <w:rPr>
                <w:b w:val="0"/>
              </w:rPr>
              <w:t>siNR3C1</w:t>
            </w:r>
          </w:p>
        </w:tc>
        <w:tc>
          <w:tcPr>
            <w:tcW w:type="dxa" w:w="8208"/>
            <w:vAlign w:val="center"/>
          </w:tcPr>
          <w:p>
            <w:r/>
            <w:r>
              <w:rPr>
                <w:b w:val="0"/>
              </w:rPr>
              <w:t>Reduce Nr3c1/GR para comprobar si la respuesta a dexametasona depende de GR.</w:t>
            </w:r>
          </w:p>
        </w:tc>
      </w:tr>
      <w:tr>
        <w:trPr>
          <w:cantSplit/>
        </w:trPr>
        <w:tc>
          <w:tcPr>
            <w:tcW w:type="dxa" w:w="2304"/>
            <w:vAlign w:val="center"/>
            <w:shd w:fill="D9EAF7"/>
          </w:tcPr>
          <w:p>
            <w:r/>
            <w:r>
              <w:rPr>
                <w:b w:val="0"/>
              </w:rPr>
              <w:t>siPCSK1</w:t>
            </w:r>
          </w:p>
        </w:tc>
        <w:tc>
          <w:tcPr>
            <w:tcW w:type="dxa" w:w="8208"/>
            <w:vAlign w:val="center"/>
          </w:tcPr>
          <w:p>
            <w:r/>
            <w:r>
              <w:rPr>
                <w:b w:val="0"/>
              </w:rPr>
              <w:t>Reduce Pcsk1 para comprobar si baja ACTH por defecto de procesamiento de POMC.</w:t>
            </w:r>
          </w:p>
        </w:tc>
      </w:tr>
      <w:tr>
        <w:trPr>
          <w:cantSplit/>
        </w:trPr>
        <w:tc>
          <w:tcPr>
            <w:tcW w:type="dxa" w:w="2304"/>
            <w:vAlign w:val="center"/>
            <w:shd w:fill="D9EAF7"/>
          </w:tcPr>
          <w:p>
            <w:r/>
            <w:r>
              <w:rPr>
                <w:b w:val="0"/>
              </w:rPr>
              <w:t>Knockdown</w:t>
            </w:r>
          </w:p>
        </w:tc>
        <w:tc>
          <w:tcPr>
            <w:tcW w:type="dxa" w:w="8208"/>
            <w:vAlign w:val="center"/>
          </w:tcPr>
          <w:p>
            <w:r/>
            <w:r>
              <w:rPr>
                <w:b w:val="0"/>
              </w:rPr>
              <w:t>Reducción transitoria de expresión; no es un knockout permanente.</w:t>
            </w:r>
          </w:p>
        </w:tc>
      </w:tr>
    </w:tbl>
    <w:p/>
    <w:p>
      <w:pPr>
        <w:pStyle w:val="Heading1"/>
      </w:pPr>
      <w:r>
        <w:t>16. Documentos de partida</w:t>
      </w:r>
    </w:p>
    <w:p>
      <w:pPr>
        <w:pStyle w:val="ListBullet"/>
      </w:pPr>
      <w:r>
        <w:t>Proyecto PI21/01012: 'Desesmarañando los mecanismos de silenciamiento y comportamiento de los tumores silentes corticotropos. Implicaciones clínicas'.</w:t>
      </w:r>
    </w:p>
    <w:p>
      <w:pPr>
        <w:pStyle w:val="ListBullet"/>
      </w:pPr>
      <w:r>
        <w:t>Propuesta de ensayos funcionales en línea AtT-20 recibida del equipo de biología.</w:t>
      </w:r>
    </w:p>
    <w:p>
      <w:pPr>
        <w:pStyle w:val="ListBullet"/>
      </w:pPr>
      <w:r>
        <w:t>Datos integrados disponibles: transcriptómica, western blot y microRNAs.</w:t>
      </w:r>
    </w:p>
    <w:tbl>
      <w:tblPr>
        <w:tblStyle w:val="TableGrid"/>
        <w:tblW w:type="auto" w:w="0"/>
        <w:jc w:val="center"/>
        <w:tblLook w:firstColumn="1" w:firstRow="1" w:lastColumn="0" w:lastRow="0" w:noHBand="0" w:noVBand="1" w:val="04A0"/>
      </w:tblPr>
      <w:tblGrid>
        <w:gridCol w:w="10166"/>
      </w:tblGrid>
      <w:tr>
        <w:tc>
          <w:tcPr>
            <w:tcW w:type="dxa" w:w="10166"/>
            <w:vAlign w:val="center"/>
            <w:shd w:fill="1F4E79"/>
          </w:tcPr>
          <w:p>
            <w:r/>
            <w:r>
              <w:rPr>
                <w:b/>
                <w:color w:val="FFFFFF"/>
              </w:rPr>
              <w:t>Conclusión operativa</w:t>
            </w:r>
          </w:p>
        </w:tc>
      </w:tr>
      <w:tr>
        <w:tc>
          <w:tcPr>
            <w:tcW w:type="dxa" w:w="10166"/>
            <w:vAlign w:val="center"/>
            <w:shd w:fill="E2F0D9"/>
          </w:tcPr>
          <w:p>
            <w:r/>
            <w:r>
              <w:rPr>
                <w:b w:val="0"/>
              </w:rPr>
              <w:t>Orden de ejecución recomendado: 1) CRH/Dexa para validar modelo; 2) siNR3C1 +/- Dexa; 3) siPCSK1 +/- CRH; 4) basal por pase en paralelo o inmediatamente antes. Este paquete es suficiente para una memoria funcional centrada en mecanismos de silenciamiento hormonal.</w:t>
            </w:r>
          </w:p>
        </w:tc>
      </w:tr>
    </w:tbl>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Documento de trabajo para discusión interna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6"/>
      </w:rPr>
      <w:t>Plan funcional AtT-20 - Tumores corticotropos silentes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