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40"/>
      </w:pPr>
      <w:r>
        <w:rPr>
          <w:rFonts w:ascii="Calibri" w:hAnsi="Calibri"/>
          <w:b/>
          <w:i w:val="0"/>
          <w:color w:val="000000"/>
          <w:sz w:val="44"/>
        </w:rPr>
        <w:t>PLAN DE GESTIÓN DE DATOS</w:t>
      </w:r>
    </w:p>
    <w:p>
      <w:pPr>
        <w:spacing w:after="160"/>
      </w:pPr>
      <w:r>
        <w:rPr>
          <w:rFonts w:ascii="Calibri" w:hAnsi="Calibri"/>
          <w:b/>
          <w:i w:val="0"/>
          <w:color w:val="1F4D78"/>
          <w:sz w:val="28"/>
        </w:rPr>
        <w:t>Proyecto PI21/01012 · Memoria científica final</w:t>
      </w:r>
    </w:p>
    <w:p>
      <w:pPr>
        <w:spacing w:after="20"/>
      </w:pPr>
      <w:r>
        <w:rPr>
          <w:rFonts w:ascii="Calibri" w:hAnsi="Calibri"/>
          <w:b/>
          <w:i w:val="0"/>
          <w:color w:val="000000"/>
          <w:sz w:val="22"/>
        </w:rPr>
        <w:t xml:space="preserve">Título del proyecto: </w:t>
      </w:r>
      <w:r>
        <w:rPr>
          <w:rFonts w:ascii="Calibri" w:hAnsi="Calibri"/>
          <w:b w:val="0"/>
          <w:i w:val="0"/>
          <w:color w:val="000000"/>
          <w:sz w:val="22"/>
        </w:rPr>
        <w:t>Desentrañando los mecanismos de silenciamiento y comportamiento de los tumores silentes corticotropos. Implicaciones clínicas</w:t>
      </w:r>
    </w:p>
    <w:p>
      <w:pPr>
        <w:spacing w:after="20"/>
      </w:pPr>
      <w:r>
        <w:rPr>
          <w:rFonts w:ascii="Calibri" w:hAnsi="Calibri"/>
          <w:b/>
          <w:i w:val="0"/>
          <w:color w:val="000000"/>
          <w:sz w:val="22"/>
        </w:rPr>
        <w:t xml:space="preserve">Investigador principal: </w:t>
      </w:r>
      <w:r>
        <w:rPr>
          <w:rFonts w:ascii="Calibri" w:hAnsi="Calibri"/>
          <w:b w:val="0"/>
          <w:i w:val="0"/>
          <w:color w:val="000000"/>
          <w:sz w:val="22"/>
        </w:rPr>
        <w:t>Antonio Miguel Picó Alfonso</w:t>
      </w:r>
    </w:p>
    <w:p>
      <w:pPr>
        <w:spacing w:after="20"/>
      </w:pPr>
      <w:r>
        <w:rPr>
          <w:rFonts w:ascii="Calibri" w:hAnsi="Calibri"/>
          <w:b/>
          <w:i w:val="0"/>
          <w:color w:val="000000"/>
          <w:sz w:val="22"/>
        </w:rPr>
        <w:t xml:space="preserve">Institución: </w:t>
      </w:r>
      <w:r>
        <w:rPr>
          <w:rFonts w:ascii="Calibri" w:hAnsi="Calibri"/>
          <w:b w:val="0"/>
          <w:i w:val="0"/>
          <w:color w:val="000000"/>
          <w:sz w:val="22"/>
        </w:rPr>
        <w:t>ISABIAL · Hospital General Universitario Dr. Balmis · Universidad Miguel Hernández</w:t>
      </w:r>
    </w:p>
    <w:p>
      <w:pPr>
        <w:spacing w:after="20"/>
      </w:pPr>
      <w:r>
        <w:rPr>
          <w:rFonts w:ascii="Calibri" w:hAnsi="Calibri"/>
          <w:b/>
          <w:i w:val="0"/>
          <w:color w:val="000000"/>
          <w:sz w:val="22"/>
        </w:rPr>
        <w:t xml:space="preserve">Versión y fecha: </w:t>
      </w:r>
      <w:r>
        <w:rPr>
          <w:rFonts w:ascii="Calibri" w:hAnsi="Calibri"/>
          <w:b w:val="0"/>
          <w:i w:val="0"/>
          <w:color w:val="000000"/>
          <w:sz w:val="22"/>
        </w:rPr>
        <w:t>Versión 1.1 · 13 de septiembre de 2026</w:t>
      </w:r>
    </w:p>
    <w:p>
      <w:pPr>
        <w:pStyle w:val="Heading1"/>
      </w:pPr>
      <w:r>
        <w:t>1. Finalidad y alcance</w:t>
      </w:r>
    </w:p>
    <w:p>
      <w:pPr/>
      <w:r>
        <w:rPr>
          <w:rFonts w:ascii="Calibri" w:hAnsi="Calibri"/>
          <w:b w:val="0"/>
          <w:i w:val="0"/>
          <w:color w:val="000000"/>
          <w:sz w:val="22"/>
        </w:rPr>
        <w:t>Este Plan de Gestión de Datos describe el ciclo de vida de los datos recogidos y generados en el proyecto PI21/01012, desde su obtención y control de calidad hasta su almacenamiento, acceso, preservación y eventual difusión. Se aplica a los datos clínicos, radiológicos, anatomopatológicos y moleculares de muestras humanas, a los datos experimentales de la línea AtT-20 y a la documentación necesaria para reproducir los análisis.</w:t>
      </w:r>
    </w:p>
    <w:p>
      <w:pPr/>
      <w:r>
        <w:rPr>
          <w:rFonts w:ascii="Calibri" w:hAnsi="Calibri"/>
          <w:b w:val="0"/>
          <w:i w:val="0"/>
          <w:color w:val="000000"/>
          <w:sz w:val="22"/>
        </w:rPr>
        <w:t>La gestión se rige por los principios FAIR —localizables, accesibles, interoperables y reutilizables— dentro de los límites impuestos por la confidencialidad, la protección de datos personales, el consentimiento, los dictámenes éticos y el riesgo de reidentificación de una cohorte de tumores poco frecuentes. Se adopta el criterio «tan abiertos como sea posible y tan cerrados como sea necesario».</w:t>
      </w:r>
    </w:p>
    <w:p>
      <w:pPr>
        <w:pStyle w:val="Heading1"/>
      </w:pPr>
      <w:r>
        <w:t>2. Tipología, procedencia y formatos</w:t>
      </w:r>
    </w:p>
    <w:p>
      <w:pPr/>
      <w:r>
        <w:rPr>
          <w:rFonts w:ascii="Calibri" w:hAnsi="Calibri"/>
          <w:b w:val="0"/>
          <w:i w:val="0"/>
          <w:color w:val="000000"/>
          <w:sz w:val="22"/>
        </w:rPr>
        <w:t>La cohorte integra tumores corticotropos funcionantes, tumores corticotropos silentes y tumores gonadotropos silentes. Los datos proceden de la práctica clínica, de anatomía patológica, de muestras biológicas obtenidas con cobertura ética y de experimentos realizados durante el proyecto.</w:t>
      </w:r>
    </w:p>
    <w:tbl>
      <w:tblPr>
        <w:tblStyle w:val="TableGrid"/>
        <w:tblW w:type="dxa" w:w="9360"/>
        <w:jc w:val="left"/>
        <w:tblLayout w:type="fixed"/>
        <w:tblLook w:firstColumn="1" w:firstRow="1" w:lastColumn="0" w:lastRow="0" w:noHBand="0" w:noVBand="1" w:val="04A0"/>
        <w:tblInd w:w="120" w:type="dxa"/>
      </w:tblPr>
      <w:tblGrid>
        <w:gridCol w:w="1900"/>
        <w:gridCol w:w="1900"/>
        <w:gridCol w:w="2300"/>
        <w:gridCol w:w="3260"/>
      </w:tblGrid>
      <w:tr>
        <w:trPr>
          <w:tblHeader w:val="true"/>
          <w:cantSplit/>
        </w:trPr>
        <w:tc>
          <w:tcPr>
            <w:tcW w:type="dxa" w:w="1900"/>
            <w:shd w:fill="F2F4F7"/>
            <w:tcMar>
              <w:top w:w="80" w:type="dxa"/>
              <w:start w:w="120" w:type="dxa"/>
              <w:bottom w:w="80" w:type="dxa"/>
              <w:end w:w="120" w:type="dxa"/>
            </w:tcMar>
            <w:vAlign w:val="center"/>
          </w:tcPr>
          <w:p>
            <w:pPr>
              <w:spacing w:after="0"/>
            </w:pPr>
            <w:r>
              <w:rPr>
                <w:rFonts w:ascii="Calibri" w:hAnsi="Calibri"/>
                <w:b/>
                <w:i w:val="0"/>
                <w:color w:val="000000"/>
                <w:sz w:val="18"/>
              </w:rPr>
              <w:t>Bloque de datos</w:t>
            </w:r>
          </w:p>
        </w:tc>
        <w:tc>
          <w:tcPr>
            <w:tcW w:type="dxa" w:w="1900"/>
            <w:shd w:fill="F2F4F7"/>
            <w:tcMar>
              <w:top w:w="80" w:type="dxa"/>
              <w:start w:w="120" w:type="dxa"/>
              <w:bottom w:w="80" w:type="dxa"/>
              <w:end w:w="120" w:type="dxa"/>
            </w:tcMar>
            <w:vAlign w:val="center"/>
          </w:tcPr>
          <w:p>
            <w:pPr>
              <w:spacing w:after="0"/>
            </w:pPr>
            <w:r>
              <w:rPr>
                <w:rFonts w:ascii="Calibri" w:hAnsi="Calibri"/>
                <w:b/>
                <w:i w:val="0"/>
                <w:color w:val="000000"/>
                <w:sz w:val="18"/>
              </w:rPr>
              <w:t>Procedencia</w:t>
            </w:r>
          </w:p>
        </w:tc>
        <w:tc>
          <w:tcPr>
            <w:tcW w:type="dxa" w:w="2300"/>
            <w:shd w:fill="F2F4F7"/>
            <w:tcMar>
              <w:top w:w="80" w:type="dxa"/>
              <w:start w:w="120" w:type="dxa"/>
              <w:bottom w:w="80" w:type="dxa"/>
              <w:end w:w="120" w:type="dxa"/>
            </w:tcMar>
            <w:vAlign w:val="center"/>
          </w:tcPr>
          <w:p>
            <w:pPr>
              <w:spacing w:after="0"/>
            </w:pPr>
            <w:r>
              <w:rPr>
                <w:rFonts w:ascii="Calibri" w:hAnsi="Calibri"/>
                <w:b/>
                <w:i w:val="0"/>
                <w:color w:val="000000"/>
                <w:sz w:val="18"/>
              </w:rPr>
              <w:t>Formatos principales</w:t>
            </w:r>
          </w:p>
        </w:tc>
        <w:tc>
          <w:tcPr>
            <w:tcW w:type="dxa" w:w="3260"/>
            <w:shd w:fill="F2F4F7"/>
            <w:tcMar>
              <w:top w:w="80" w:type="dxa"/>
              <w:start w:w="120" w:type="dxa"/>
              <w:bottom w:w="80" w:type="dxa"/>
              <w:end w:w="120" w:type="dxa"/>
            </w:tcMar>
            <w:vAlign w:val="center"/>
          </w:tcPr>
          <w:p>
            <w:pPr>
              <w:spacing w:after="0"/>
            </w:pPr>
            <w:r>
              <w:rPr>
                <w:rFonts w:ascii="Calibri" w:hAnsi="Calibri"/>
                <w:b/>
                <w:i w:val="0"/>
                <w:color w:val="000000"/>
                <w:sz w:val="18"/>
              </w:rPr>
              <w:t>Documentación y control</w:t>
            </w:r>
          </w:p>
        </w:tc>
      </w:tr>
      <w:tr>
        <w:trPr>
          <w:cantSplit/>
        </w:trPr>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Clínicos y demográficos</w:t>
            </w:r>
          </w:p>
        </w:tc>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Historia clínica y base del estudio</w:t>
            </w:r>
          </w:p>
        </w:tc>
        <w:tc>
          <w:tcPr>
            <w:tcW w:type="dxa" w:w="2300"/>
            <w:tcMar>
              <w:top w:w="80" w:type="dxa"/>
              <w:start w:w="120" w:type="dxa"/>
              <w:bottom w:w="80" w:type="dxa"/>
              <w:end w:w="120" w:type="dxa"/>
            </w:tcMar>
            <w:vAlign w:val="center"/>
          </w:tcPr>
          <w:p>
            <w:pPr>
              <w:spacing w:after="0"/>
            </w:pPr>
            <w:r>
              <w:rPr>
                <w:rFonts w:ascii="Calibri" w:hAnsi="Calibri"/>
                <w:b w:val="0"/>
                <w:i w:val="0"/>
                <w:color w:val="000000"/>
                <w:sz w:val="17"/>
              </w:rPr>
              <w:t>XLSX/CSV; exportaciones PDF cuando proceda</w:t>
            </w:r>
          </w:p>
        </w:tc>
        <w:tc>
          <w:tcPr>
            <w:tcW w:type="dxa" w:w="3260"/>
            <w:tcMar>
              <w:top w:w="80" w:type="dxa"/>
              <w:start w:w="120" w:type="dxa"/>
              <w:bottom w:w="80" w:type="dxa"/>
              <w:end w:w="120" w:type="dxa"/>
            </w:tcMar>
            <w:vAlign w:val="center"/>
          </w:tcPr>
          <w:p>
            <w:pPr>
              <w:spacing w:after="0"/>
            </w:pPr>
            <w:r>
              <w:rPr>
                <w:rFonts w:ascii="Calibri" w:hAnsi="Calibri"/>
                <w:b w:val="0"/>
                <w:i w:val="0"/>
                <w:color w:val="000000"/>
                <w:sz w:val="17"/>
              </w:rPr>
              <w:t>Diccionario de variables, reglas de codificación y registro de valores ausentes</w:t>
            </w:r>
          </w:p>
        </w:tc>
      </w:tr>
      <w:tr>
        <w:trPr>
          <w:cantSplit/>
        </w:trPr>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Radiológicos y anatomopatológicos</w:t>
            </w:r>
          </w:p>
        </w:tc>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Informes, imágenes seleccionadas y evaluación histológica</w:t>
            </w:r>
          </w:p>
        </w:tc>
        <w:tc>
          <w:tcPr>
            <w:tcW w:type="dxa" w:w="2300"/>
            <w:tcMar>
              <w:top w:w="80" w:type="dxa"/>
              <w:start w:w="120" w:type="dxa"/>
              <w:bottom w:w="80" w:type="dxa"/>
              <w:end w:w="120" w:type="dxa"/>
            </w:tcMar>
            <w:vAlign w:val="center"/>
          </w:tcPr>
          <w:p>
            <w:pPr>
              <w:spacing w:after="0"/>
            </w:pPr>
            <w:r>
              <w:rPr>
                <w:rFonts w:ascii="Calibri" w:hAnsi="Calibri"/>
                <w:b w:val="0"/>
                <w:i w:val="0"/>
                <w:color w:val="000000"/>
                <w:sz w:val="17"/>
              </w:rPr>
              <w:t>XLSX/CSV, PDF, TIFF/JPEG/PNG; DICOM cuando esté autorizado</w:t>
            </w:r>
          </w:p>
        </w:tc>
        <w:tc>
          <w:tcPr>
            <w:tcW w:type="dxa" w:w="3260"/>
            <w:tcMar>
              <w:top w:w="80" w:type="dxa"/>
              <w:start w:w="120" w:type="dxa"/>
              <w:bottom w:w="80" w:type="dxa"/>
              <w:end w:w="120" w:type="dxa"/>
            </w:tcMar>
            <w:vAlign w:val="center"/>
          </w:tcPr>
          <w:p>
            <w:pPr>
              <w:spacing w:after="0"/>
            </w:pPr>
            <w:r>
              <w:rPr>
                <w:rFonts w:ascii="Calibri" w:hAnsi="Calibri"/>
                <w:b w:val="0"/>
                <w:i w:val="0"/>
                <w:color w:val="000000"/>
                <w:sz w:val="17"/>
              </w:rPr>
              <w:t>Identificador codificado, método de lectura y criterios de clasificación</w:t>
            </w:r>
          </w:p>
        </w:tc>
      </w:tr>
      <w:tr>
        <w:trPr>
          <w:cantSplit/>
        </w:trPr>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Expresión génica y miRNA</w:t>
            </w:r>
          </w:p>
        </w:tc>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RT-qPCR y matrices integradas</w:t>
            </w:r>
          </w:p>
        </w:tc>
        <w:tc>
          <w:tcPr>
            <w:tcW w:type="dxa" w:w="2300"/>
            <w:tcMar>
              <w:top w:w="80" w:type="dxa"/>
              <w:start w:w="120" w:type="dxa"/>
              <w:bottom w:w="80" w:type="dxa"/>
              <w:end w:w="120" w:type="dxa"/>
            </w:tcMar>
            <w:vAlign w:val="center"/>
          </w:tcPr>
          <w:p>
            <w:pPr>
              <w:spacing w:after="0"/>
            </w:pPr>
            <w:r>
              <w:rPr>
                <w:rFonts w:ascii="Calibri" w:hAnsi="Calibri"/>
                <w:b w:val="0"/>
                <w:i w:val="0"/>
                <w:color w:val="000000"/>
                <w:sz w:val="17"/>
              </w:rPr>
              <w:t>XLSX/CSV, PZFX, PDF/PNG</w:t>
            </w:r>
          </w:p>
        </w:tc>
        <w:tc>
          <w:tcPr>
            <w:tcW w:type="dxa" w:w="3260"/>
            <w:tcMar>
              <w:top w:w="80" w:type="dxa"/>
              <w:start w:w="120" w:type="dxa"/>
              <w:bottom w:w="80" w:type="dxa"/>
              <w:end w:w="120" w:type="dxa"/>
            </w:tcMar>
            <w:vAlign w:val="center"/>
          </w:tcPr>
          <w:p>
            <w:pPr>
              <w:spacing w:after="0"/>
            </w:pPr>
            <w:r>
              <w:rPr>
                <w:rFonts w:ascii="Calibri" w:hAnsi="Calibri"/>
                <w:b w:val="0"/>
                <w:i w:val="0"/>
                <w:color w:val="000000"/>
                <w:sz w:val="17"/>
              </w:rPr>
              <w:t>Ct, ΔCt, transformaciones, genes de referencia, controles y versión del análisis</w:t>
            </w:r>
          </w:p>
        </w:tc>
      </w:tr>
      <w:tr>
        <w:trPr>
          <w:cantSplit/>
        </w:trPr>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Proteómica</w:t>
            </w:r>
          </w:p>
        </w:tc>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Western blot y densitometría</w:t>
            </w:r>
          </w:p>
        </w:tc>
        <w:tc>
          <w:tcPr>
            <w:tcW w:type="dxa" w:w="2300"/>
            <w:tcMar>
              <w:top w:w="80" w:type="dxa"/>
              <w:start w:w="120" w:type="dxa"/>
              <w:bottom w:w="80" w:type="dxa"/>
              <w:end w:w="120" w:type="dxa"/>
            </w:tcMar>
            <w:vAlign w:val="center"/>
          </w:tcPr>
          <w:p>
            <w:pPr>
              <w:spacing w:after="0"/>
            </w:pPr>
            <w:r>
              <w:rPr>
                <w:rFonts w:ascii="Calibri" w:hAnsi="Calibri"/>
                <w:b w:val="0"/>
                <w:i w:val="0"/>
                <w:color w:val="000000"/>
                <w:sz w:val="17"/>
              </w:rPr>
              <w:t>TIFF/JPEG/PNG, XLSX/CSV, PDF</w:t>
            </w:r>
          </w:p>
        </w:tc>
        <w:tc>
          <w:tcPr>
            <w:tcW w:type="dxa" w:w="3260"/>
            <w:tcMar>
              <w:top w:w="80" w:type="dxa"/>
              <w:start w:w="120" w:type="dxa"/>
              <w:bottom w:w="80" w:type="dxa"/>
              <w:end w:w="120" w:type="dxa"/>
            </w:tcMar>
            <w:vAlign w:val="center"/>
          </w:tcPr>
          <w:p>
            <w:pPr>
              <w:spacing w:after="0"/>
            </w:pPr>
            <w:r>
              <w:rPr>
                <w:rFonts w:ascii="Calibri" w:hAnsi="Calibri"/>
                <w:b w:val="0"/>
                <w:i w:val="0"/>
                <w:color w:val="000000"/>
                <w:sz w:val="17"/>
              </w:rPr>
              <w:t>Imagen original, non-stain, normalización, tanda, criterios de cero y exclusión</w:t>
            </w:r>
          </w:p>
        </w:tc>
      </w:tr>
      <w:tr>
        <w:trPr>
          <w:cantSplit/>
        </w:trPr>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Secuenciación USP8</w:t>
            </w:r>
          </w:p>
        </w:tc>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Sanger bidireccional del exón 14</w:t>
            </w:r>
          </w:p>
        </w:tc>
        <w:tc>
          <w:tcPr>
            <w:tcW w:type="dxa" w:w="2300"/>
            <w:tcMar>
              <w:top w:w="80" w:type="dxa"/>
              <w:start w:w="120" w:type="dxa"/>
              <w:bottom w:w="80" w:type="dxa"/>
              <w:end w:w="120" w:type="dxa"/>
            </w:tcMar>
            <w:vAlign w:val="center"/>
          </w:tcPr>
          <w:p>
            <w:pPr>
              <w:spacing w:after="0"/>
            </w:pPr>
            <w:r>
              <w:rPr>
                <w:rFonts w:ascii="Calibri" w:hAnsi="Calibri"/>
                <w:b w:val="0"/>
                <w:i w:val="0"/>
                <w:color w:val="000000"/>
                <w:sz w:val="17"/>
              </w:rPr>
              <w:t>AB1, FASTA/TXT, PDF/PNG, XLSX/CSV</w:t>
            </w:r>
          </w:p>
        </w:tc>
        <w:tc>
          <w:tcPr>
            <w:tcW w:type="dxa" w:w="3260"/>
            <w:tcMar>
              <w:top w:w="80" w:type="dxa"/>
              <w:start w:w="120" w:type="dxa"/>
              <w:bottom w:w="80" w:type="dxa"/>
              <w:end w:w="120" w:type="dxa"/>
            </w:tcMar>
            <w:vAlign w:val="center"/>
          </w:tcPr>
          <w:p>
            <w:pPr>
              <w:spacing w:after="0"/>
            </w:pPr>
            <w:r>
              <w:rPr>
                <w:rFonts w:ascii="Calibri" w:hAnsi="Calibri"/>
                <w:b w:val="0"/>
                <w:i w:val="0"/>
                <w:color w:val="000000"/>
                <w:sz w:val="17"/>
              </w:rPr>
              <w:t>Lecturas FWD/RVS, referencia NM_005154.5, nomenclatura HGVS y revisión cromatográfica</w:t>
            </w:r>
          </w:p>
        </w:tc>
      </w:tr>
      <w:tr>
        <w:trPr>
          <w:cantSplit/>
        </w:trPr>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Estudios funcionales</w:t>
            </w:r>
          </w:p>
        </w:tc>
        <w:tc>
          <w:tcPr>
            <w:tcW w:type="dxa" w:w="1900"/>
            <w:tcMar>
              <w:top w:w="80" w:type="dxa"/>
              <w:start w:w="120" w:type="dxa"/>
              <w:bottom w:w="80" w:type="dxa"/>
              <w:end w:w="120" w:type="dxa"/>
            </w:tcMar>
            <w:vAlign w:val="center"/>
          </w:tcPr>
          <w:p>
            <w:pPr>
              <w:spacing w:after="0"/>
            </w:pPr>
            <w:r>
              <w:rPr>
                <w:rFonts w:ascii="Calibri" w:hAnsi="Calibri"/>
                <w:b w:val="0"/>
                <w:i w:val="0"/>
                <w:color w:val="000000"/>
                <w:sz w:val="17"/>
              </w:rPr>
              <w:t>AtT-20: RT-qPCR, viabilidad y ACTH</w:t>
            </w:r>
          </w:p>
        </w:tc>
        <w:tc>
          <w:tcPr>
            <w:tcW w:type="dxa" w:w="2300"/>
            <w:tcMar>
              <w:top w:w="80" w:type="dxa"/>
              <w:start w:w="120" w:type="dxa"/>
              <w:bottom w:w="80" w:type="dxa"/>
              <w:end w:w="120" w:type="dxa"/>
            </w:tcMar>
            <w:vAlign w:val="center"/>
          </w:tcPr>
          <w:p>
            <w:pPr>
              <w:spacing w:after="0"/>
            </w:pPr>
            <w:r>
              <w:rPr>
                <w:rFonts w:ascii="Calibri" w:hAnsi="Calibri"/>
                <w:b w:val="0"/>
                <w:i w:val="0"/>
                <w:color w:val="000000"/>
                <w:sz w:val="17"/>
              </w:rPr>
              <w:t>XLSX/CSV, PZFX, PDF/PNG y cuaderno de laboratorio</w:t>
            </w:r>
          </w:p>
        </w:tc>
        <w:tc>
          <w:tcPr>
            <w:tcW w:type="dxa" w:w="3260"/>
            <w:tcMar>
              <w:top w:w="80" w:type="dxa"/>
              <w:start w:w="120" w:type="dxa"/>
              <w:bottom w:w="80" w:type="dxa"/>
              <w:end w:w="120" w:type="dxa"/>
            </w:tcMar>
            <w:vAlign w:val="center"/>
          </w:tcPr>
          <w:p>
            <w:pPr>
              <w:spacing w:after="0"/>
            </w:pPr>
            <w:r>
              <w:rPr>
                <w:rFonts w:ascii="Calibri" w:hAnsi="Calibri"/>
                <w:b w:val="0"/>
                <w:i w:val="0"/>
                <w:color w:val="000000"/>
                <w:sz w:val="17"/>
              </w:rPr>
              <w:t>Pase celular, condición experimental, réplicas, controles, análisis y desviaciones</w:t>
            </w:r>
          </w:p>
        </w:tc>
      </w:tr>
    </w:tbl>
    <w:p>
      <w:pPr>
        <w:pStyle w:val="Heading1"/>
      </w:pPr>
      <w:r>
        <w:t>3. Organización, calidad y trazabilidad</w:t>
      </w:r>
    </w:p>
    <w:p>
      <w:pPr/>
      <w:r>
        <w:rPr>
          <w:rFonts w:ascii="Calibri" w:hAnsi="Calibri"/>
          <w:b w:val="0"/>
          <w:i w:val="0"/>
          <w:color w:val="000000"/>
          <w:sz w:val="22"/>
        </w:rPr>
        <w:t>Cada participante y cada muestra se identifica mediante un código de estudio. Los identificadores directos no se incorporan a las matrices analíticas. La tabla de correspondencia entre código e identidad se conserva separadamente, con acceso restringido al personal autorizado por la institución responsable.</w:t>
      </w:r>
    </w:p>
    <w:p>
      <w:pPr/>
      <w:r>
        <w:rPr>
          <w:rFonts w:ascii="Calibri" w:hAnsi="Calibri"/>
          <w:b w:val="0"/>
          <w:i w:val="0"/>
          <w:color w:val="000000"/>
          <w:sz w:val="22"/>
        </w:rPr>
        <w:t>Los nombres de archivo incluyen proyecto, técnica, marcador, tanda o fecha y versión. Se conservan los datos originales, una copia de trabajo y los conjuntos derivados utilizados en los análisis. Las modificaciones relevantes se documentan mediante control de versiones y registro de criterios de inclusión, exclusión, valores no detectables, normalización y correcciones. Los archivos finales incorporan un README y un diccionario de datos.</w:t>
      </w:r>
    </w:p>
    <w:p>
      <w:pPr/>
      <w:r>
        <w:rPr>
          <w:rFonts w:ascii="Calibri" w:hAnsi="Calibri"/>
          <w:b w:val="0"/>
          <w:i w:val="0"/>
          <w:color w:val="000000"/>
          <w:sz w:val="22"/>
        </w:rPr>
        <w:t>La calidad se garantiza mediante controles técnicos y biológicos, revisión de coherencia entre identificadores, comprobación de duplicados, validación de rangos, trazabilidad por muestra y conservación de resultados negativos o no detectables cuando el control técnico es válido. En la secuenciación se exige concordancia bidireccional y revisión manual de los cromatogramas.</w:t>
      </w:r>
    </w:p>
    <w:p>
      <w:pPr>
        <w:pStyle w:val="Heading1"/>
      </w:pPr>
      <w:r>
        <w:t>4. Almacenamiento, seguridad y copias de respaldo</w:t>
      </w:r>
    </w:p>
    <w:p>
      <w:pPr/>
      <w:r>
        <w:rPr>
          <w:rFonts w:ascii="Calibri" w:hAnsi="Calibri"/>
          <w:b w:val="0"/>
          <w:i w:val="0"/>
          <w:color w:val="000000"/>
          <w:sz w:val="22"/>
        </w:rPr>
        <w:t>Durante el proyecto, los datos se almacenan en infraestructura institucional con acceso autenticado y limitado al equipo autorizado, configurada conforme a las políticas institucionales de seguridad aplicables. Las matrices analíticas trabajan con códigos seudonimizados. Los documentos que contienen identificadores directos se mantienen separados de los datos de investigación y bajo custodia institucional.</w:t>
      </w:r>
    </w:p>
    <w:p>
      <w:pPr/>
      <w:r>
        <w:rPr>
          <w:rFonts w:ascii="Calibri" w:hAnsi="Calibri"/>
          <w:b w:val="0"/>
          <w:i w:val="0"/>
          <w:color w:val="000000"/>
          <w:sz w:val="22"/>
        </w:rPr>
        <w:t>Se mantienen copias de respaldo periódicas y se evita que la única copia operativa resida en dispositivos personales o soportes extraíbles. Los intercambios con centros colaboradores se realizan mediante canales institucionales seguros, con el mínimo conjunto de datos necesario y, cuando procede, mediante acuerdos de transferencia o acceso. Cualquier incidencia de seguridad se comunica conforme a los procedimientos institucionales y a la normativa de protección de datos.</w:t>
      </w:r>
    </w:p>
    <w:p>
      <w:pPr>
        <w:pStyle w:val="Heading1"/>
      </w:pPr>
      <w:r>
        <w:t>5. Acceso y responsabilidades</w:t>
      </w:r>
    </w:p>
    <w:p>
      <w:pPr/>
      <w:r>
        <w:rPr>
          <w:rFonts w:ascii="Calibri" w:hAnsi="Calibri"/>
          <w:b w:val="0"/>
          <w:i w:val="0"/>
          <w:color w:val="000000"/>
          <w:sz w:val="22"/>
        </w:rPr>
        <w:t>El investigador principal es responsable de la supervisión científica del plan. El personal investigador y técnico accede únicamente a los datos necesarios para sus funciones. Los colaboradores externos pueden acceder a datos seudonimizados o derivados cuando exista autorización, una finalidad científica compatible, compromiso de confidencialidad y, si procede, aprobación ética y acuerdo de transferencia de datos.</w:t>
      </w:r>
    </w:p>
    <w:p>
      <w:pPr/>
      <w:r>
        <w:rPr>
          <w:rFonts w:ascii="Calibri" w:hAnsi="Calibri"/>
          <w:b w:val="0"/>
          <w:i w:val="0"/>
          <w:color w:val="000000"/>
          <w:sz w:val="22"/>
        </w:rPr>
        <w:t>Las solicitudes posteriores de acceso a datos no públicos serán evaluadas por el investigador principal y la institución responsable. Se valorarán la calidad científica de la propuesta, la compatibilidad con el consentimiento y el dictamen ético, la proporcionalidad del conjunto solicitado y el riesgo de reidentificación. El acceso podrá condicionarse a un acuerdo de uso, a un entorno seguro o a la entrega de datos agregados.</w:t>
      </w:r>
    </w:p>
    <w:p>
      <w:pPr>
        <w:pStyle w:val="Heading1"/>
      </w:pPr>
      <w:r>
        <w:t>6. Titularidad y propiedad intelectual</w:t>
      </w:r>
    </w:p>
    <w:p>
      <w:pPr/>
      <w:r>
        <w:rPr>
          <w:rFonts w:ascii="Calibri" w:hAnsi="Calibri"/>
          <w:b w:val="0"/>
          <w:i w:val="0"/>
          <w:color w:val="000000"/>
          <w:sz w:val="22"/>
        </w:rPr>
        <w:t>La custodia y responsabilidad sobre los datos corresponden a las instituciones participantes de acuerdo con la normativa aplicable, los acuerdos del proyecto y la procedencia de cada muestra. Los datos no son propiedad particular de un investigador. La coordinación del conjunto integrado corresponde a ISABIAL bajo la supervisión del investigador principal, respetando los derechos y responsabilidades de los centros de origen, biobancos y colaboradores.</w:t>
      </w:r>
    </w:p>
    <w:p>
      <w:pPr/>
      <w:r>
        <w:rPr>
          <w:rFonts w:ascii="Calibri" w:hAnsi="Calibri"/>
          <w:b w:val="0"/>
          <w:i w:val="0"/>
          <w:color w:val="000000"/>
          <w:sz w:val="22"/>
        </w:rPr>
        <w:t>La difusión de resultados y datos derivados respetará la confidencialidad, la autoría, los acuerdos de colaboración, los derechos de propiedad intelectual y las políticas de las revistas y entidades financiadoras.</w:t>
      </w:r>
    </w:p>
    <w:p>
      <w:pPr>
        <w:pStyle w:val="Heading1"/>
      </w:pPr>
      <w:r>
        <w:t>7. Depósito, acceso abierto y preservación</w:t>
      </w:r>
    </w:p>
    <w:p>
      <w:pPr/>
      <w:r>
        <w:rPr>
          <w:rFonts w:ascii="Calibri" w:hAnsi="Calibri"/>
          <w:b w:val="0"/>
          <w:i w:val="0"/>
          <w:color w:val="000000"/>
          <w:sz w:val="22"/>
        </w:rPr>
        <w:t>Los datos clínicos individuales, los documentos fuente, los archivos que contengan identificadores directos, la clave de reidentificación y los datos moleculares con riesgo razonable de reidentificación no se depositarán en acceso abierto. Se conservarán en el entorno institucional y solo podrán facilitarse o, cuando resulte procedente, depositarse con acceso restringido si existe base ética y jurídica suficiente y se cumplen las condiciones institucionales aplicables.</w:t>
      </w:r>
    </w:p>
    <w:p>
      <w:pPr/>
      <w:r>
        <w:rPr>
          <w:rFonts w:ascii="Calibri" w:hAnsi="Calibri"/>
          <w:b w:val="0"/>
          <w:i w:val="0"/>
          <w:color w:val="000000"/>
          <w:sz w:val="22"/>
        </w:rPr>
        <w:t>La versión 1.1 de este Plan de Gestión de Datos se remitirá a la Biblioteca de la Universidad Miguel Hernández para su depósito asistido en RediUMH. El depósito será realizado por el personal de la Biblioteca y el registro recibirá un handle como identificador persistente. Este handle identificará específicamente el PGD depositado y se incorporará a la memoria científica final cuando esté disponible.</w:t>
      </w:r>
    </w:p>
    <w:p>
      <w:pPr/>
      <w:r>
        <w:rPr>
          <w:rFonts w:ascii="Calibri" w:hAnsi="Calibri"/>
          <w:b w:val="0"/>
          <w:i w:val="0"/>
          <w:color w:val="000000"/>
          <w:sz w:val="22"/>
        </w:rPr>
        <w:t>Los conjuntos de datos derivados que sustenten publicaciones se depositarán en registros independientes cuando estén suficientemente agregados o anonimizados y su difusión sea compatible con el consentimiento, el dictamen ético y los acuerdos aplicables. RediUMH permite depósitos en acceso abierto o restringido; en estos últimos, los metadatos permanecen visibles, pero no se proporciona acceso público a los archivos. Cada conjunto se acompañará, según corresponda, de un archivo README, un diccionario de variables, la metodología, los criterios de control de calidad y los metadatos necesarios para su interpretación y reutilización.</w:t>
      </w:r>
    </w:p>
    <w:p>
      <w:pPr/>
      <w:r>
        <w:rPr>
          <w:rFonts w:ascii="Calibri" w:hAnsi="Calibri"/>
          <w:b w:val="0"/>
          <w:i w:val="0"/>
          <w:color w:val="000000"/>
          <w:sz w:val="22"/>
        </w:rPr>
        <w:t>En RediUMH los archivos individuales no deberán exceder de 2 GB. Cuando el tamaño, el formato o las funcionalidades necesarias no sean adecuados para RediUMH, se valorará un repositorio alternativo, como Zenodo, que admite hasta 50 GB por conjunto de datos según la información facilitada por la Biblioteca. Si fuera necesario un embargo, se acordará previamente con la Biblioteca o se utilizará un repositorio que lo permita. Los conjuntos difundidos en abierto se acompañarán de una licencia CC BY 4.0 o CC0 cuando resulte legal y éticamente procedente; no se aplicará una licencia abierta a datos individuales seudonimizados ni a archivos sometidos a acceso restringido.</w:t>
      </w:r>
    </w:p>
    <w:p>
      <w:pPr/>
      <w:r>
        <w:rPr>
          <w:rFonts w:ascii="Calibri" w:hAnsi="Calibri"/>
          <w:b w:val="0"/>
          <w:i w:val="0"/>
          <w:color w:val="000000"/>
          <w:sz w:val="22"/>
        </w:rPr>
        <w:t>Los datos esenciales para la trazabilidad y reproducibilidad, junto con protocolos, diccionarios, metadatos y versiones finales de análisis, se conservarán durante el periodo exigido por la normativa, los dictámenes éticos y las políticas institucionales, y en todo caso durante un mínimo de cinco años tras la finalización del proyecto o la publicación principal si esta fuera posterior.</w:t>
      </w:r>
    </w:p>
    <w:p>
      <w:pPr>
        <w:pStyle w:val="Heading1"/>
      </w:pPr>
      <w:r>
        <w:t>8. Requisitos éticos y legales</w:t>
      </w:r>
    </w:p>
    <w:p>
      <w:pPr/>
      <w:r>
        <w:rPr>
          <w:rFonts w:ascii="Calibri" w:hAnsi="Calibri"/>
          <w:b w:val="0"/>
          <w:i w:val="0"/>
          <w:color w:val="000000"/>
          <w:sz w:val="22"/>
        </w:rPr>
        <w:t>El tratamiento de datos y muestras se realiza conforme al dictamen favorable del comité de ética competente, a los consentimientos o bases de legitimación aplicables y a la normativa española y europea. Son de aplicación el Reglamento (UE) 2016/679, la Ley Orgánica 3/2018, de Protección de Datos Personales y garantía de los derechos digitales, la Ley 14/2007, de Investigación Biomédica, y las normas institucionales y de biobancos que correspondan.</w:t>
      </w:r>
    </w:p>
    <w:p>
      <w:pPr/>
      <w:r>
        <w:rPr>
          <w:rFonts w:ascii="Calibri" w:hAnsi="Calibri"/>
          <w:b w:val="0"/>
          <w:i w:val="0"/>
          <w:color w:val="000000"/>
          <w:sz w:val="22"/>
        </w:rPr>
        <w:t>Se aplican minimización de datos, limitación de finalidad, seudonimización, control de accesos y separación de la clave de reidentificación. Debido a la rareza de los tumores y al reducido tamaño de algunos subgrupos, la anonimización se revisará antes de cualquier depósito o cesión. No se publicarán combinaciones de variables que permitan identificar razonablemente a una persona.</w:t>
      </w:r>
    </w:p>
    <w:p>
      <w:pPr/>
      <w:r>
        <w:rPr>
          <w:rFonts w:ascii="Calibri" w:hAnsi="Calibri"/>
          <w:b w:val="0"/>
          <w:i w:val="0"/>
          <w:color w:val="000000"/>
          <w:sz w:val="22"/>
        </w:rPr>
        <w:t>La Biblioteca de la Universidad Miguel Hernández ha indicado que no exige un documento institucional adicional por el mero hecho de efectuar el depósito. Esta circunstancia no sustituye ni modifica las obligaciones derivadas del consentimiento, la autorización ética, la protección de datos, la custodia institucional o los acuerdos de cesión y colaboración.</w:t>
      </w:r>
    </w:p>
    <w:p>
      <w:pPr>
        <w:pStyle w:val="Heading1"/>
      </w:pPr>
      <w:r>
        <w:t>9. Revisión del plan</w:t>
      </w:r>
    </w:p>
    <w:p>
      <w:pPr/>
      <w:r>
        <w:rPr>
          <w:rFonts w:ascii="Calibri" w:hAnsi="Calibri"/>
          <w:b w:val="0"/>
          <w:i w:val="0"/>
          <w:color w:val="000000"/>
          <w:sz w:val="22"/>
        </w:rPr>
        <w:t>Esta versión 1.1 recoge las condiciones confirmadas para el depósito del PGD en RediUMH. El plan se revisará al cierre de los experimentos funcionales, antes del depósito de cada conjunto asociado a una publicación y cuando se produzcan cambios relevantes en los datos, los repositorios, los acuerdos de colaboración o la normativa. Las revisiones posteriores describirán los conjuntos efectivamente conservados o depositados, sus restricciones de acceso y los identificadores persistentes asignados a cada registro.</w:t>
      </w:r>
    </w:p>
    <w:p>
      <w:pPr>
        <w:pStyle w:val="Heading1"/>
      </w:pPr>
      <w:r>
        <w:t>10. Responsabilidades y recursos</w:t>
      </w:r>
    </w:p>
    <w:p>
      <w:pPr/>
      <w:r>
        <w:rPr>
          <w:rFonts w:ascii="Calibri" w:hAnsi="Calibri"/>
          <w:b/>
          <w:i w:val="0"/>
          <w:color w:val="000000"/>
          <w:sz w:val="22"/>
        </w:rPr>
        <w:t>Investigador principal:</w:t>
      </w:r>
      <w:r>
        <w:rPr>
          <w:rFonts w:ascii="Calibri" w:hAnsi="Calibri"/>
          <w:b w:val="0"/>
          <w:i w:val="0"/>
          <w:color w:val="000000"/>
          <w:sz w:val="22"/>
        </w:rPr>
        <w:t xml:space="preserve"> supervisión científica, autorización de accesos, aprobación de conjuntos para depósito y revisión del plan.</w:t>
      </w:r>
    </w:p>
    <w:p>
      <w:pPr/>
      <w:r>
        <w:rPr>
          <w:rFonts w:ascii="Calibri" w:hAnsi="Calibri"/>
          <w:b/>
          <w:i w:val="0"/>
          <w:color w:val="000000"/>
          <w:sz w:val="22"/>
        </w:rPr>
        <w:t>Equipo investigador y técnico:</w:t>
      </w:r>
      <w:r>
        <w:rPr>
          <w:rFonts w:ascii="Calibri" w:hAnsi="Calibri"/>
          <w:b w:val="0"/>
          <w:i w:val="0"/>
          <w:color w:val="000000"/>
          <w:sz w:val="22"/>
        </w:rPr>
        <w:t xml:space="preserve"> documentación de procedimientos, control de calidad, mantenimiento de la trazabilidad y preparación de datos derivados.</w:t>
      </w:r>
    </w:p>
    <w:p>
      <w:pPr/>
      <w:r>
        <w:rPr>
          <w:rFonts w:ascii="Calibri" w:hAnsi="Calibri"/>
          <w:b/>
          <w:i w:val="0"/>
          <w:color w:val="000000"/>
          <w:sz w:val="22"/>
        </w:rPr>
        <w:t>Instituciones participantes:</w:t>
      </w:r>
      <w:r>
        <w:rPr>
          <w:rFonts w:ascii="Calibri" w:hAnsi="Calibri"/>
          <w:b w:val="0"/>
          <w:i w:val="0"/>
          <w:color w:val="000000"/>
          <w:sz w:val="22"/>
        </w:rPr>
        <w:t xml:space="preserve"> custodia de los datos fuente, infraestructura segura, copias de respaldo y aplicación de las políticas de seguridad y protección de datos.</w:t>
      </w:r>
    </w:p>
    <w:p>
      <w:pPr/>
      <w:r>
        <w:rPr>
          <w:rFonts w:ascii="Calibri" w:hAnsi="Calibri"/>
          <w:b/>
          <w:i w:val="0"/>
          <w:color w:val="000000"/>
          <w:sz w:val="22"/>
        </w:rPr>
        <w:t>Biblioteca y repositorios:</w:t>
      </w:r>
      <w:r>
        <w:rPr>
          <w:rFonts w:ascii="Calibri" w:hAnsi="Calibri"/>
          <w:b w:val="0"/>
          <w:i w:val="0"/>
          <w:color w:val="000000"/>
          <w:sz w:val="22"/>
        </w:rPr>
        <w:t xml:space="preserve"> la Biblioteca de la Universidad Miguel Hernández gestiona el depósito asistido en RediUMH y presta apoyo en la preparación de metadatos, documentación, identificadores persistentes, licencias y preservación de los conjuntos compartibles.</w:t>
      </w:r>
    </w:p>
    <w:p>
      <w:pPr/>
      <w:r>
        <w:rPr>
          <w:rFonts w:ascii="Calibri" w:hAnsi="Calibri"/>
          <w:b w:val="0"/>
          <w:i w:val="0"/>
          <w:color w:val="000000"/>
          <w:sz w:val="22"/>
        </w:rPr>
        <w:t>La gestión ordinaria se cubre con la infraestructura institucional y los recursos humanos del proyecto. Cualquier coste adicional de anonimización, preparación o depósito se valorará antes de publicar cada conjunto.</w:t>
      </w:r>
    </w:p>
    <w:p>
      <w:pPr>
        <w:pStyle w:val="Heading1"/>
      </w:pPr>
      <w:r>
        <w:t>11. Control de versiones</w:t>
      </w:r>
    </w:p>
    <w:tbl>
      <w:tblPr>
        <w:tblStyle w:val="TableGrid"/>
        <w:tblW w:type="dxa" w:w="9360"/>
        <w:jc w:val="left"/>
        <w:tblLayout w:type="fixed"/>
        <w:tblLook w:firstColumn="1" w:firstRow="1" w:lastColumn="0" w:lastRow="0" w:noHBand="0" w:noVBand="1" w:val="04A0"/>
        <w:tblInd w:w="120" w:type="dxa"/>
      </w:tblPr>
      <w:tblGrid>
        <w:gridCol w:w="1200"/>
        <w:gridCol w:w="1800"/>
        <w:gridCol w:w="6360"/>
      </w:tblGrid>
      <w:tr>
        <w:trPr>
          <w:tblHeader w:val="true"/>
          <w:cantSplit/>
        </w:trPr>
        <w:tc>
          <w:tcPr>
            <w:tcW w:type="dxa" w:w="1200"/>
            <w:shd w:fill="F2F4F7"/>
            <w:tcMar>
              <w:top w:w="80" w:type="dxa"/>
              <w:start w:w="120" w:type="dxa"/>
              <w:bottom w:w="80" w:type="dxa"/>
              <w:end w:w="120" w:type="dxa"/>
            </w:tcMar>
            <w:vAlign w:val="center"/>
          </w:tcPr>
          <w:p>
            <w:pPr>
              <w:spacing w:after="0"/>
            </w:pPr>
            <w:r>
              <w:rPr>
                <w:rFonts w:ascii="Calibri" w:hAnsi="Calibri"/>
                <w:b/>
                <w:i w:val="0"/>
                <w:color w:val="000000"/>
                <w:sz w:val="19"/>
              </w:rPr>
              <w:t>Versión</w:t>
            </w:r>
          </w:p>
        </w:tc>
        <w:tc>
          <w:tcPr>
            <w:tcW w:type="dxa" w:w="1800"/>
            <w:shd w:fill="F2F4F7"/>
            <w:tcMar>
              <w:top w:w="80" w:type="dxa"/>
              <w:start w:w="120" w:type="dxa"/>
              <w:bottom w:w="80" w:type="dxa"/>
              <w:end w:w="120" w:type="dxa"/>
            </w:tcMar>
            <w:vAlign w:val="center"/>
          </w:tcPr>
          <w:p>
            <w:pPr>
              <w:spacing w:after="0"/>
            </w:pPr>
            <w:r>
              <w:rPr>
                <w:rFonts w:ascii="Calibri" w:hAnsi="Calibri"/>
                <w:b/>
                <w:i w:val="0"/>
                <w:color w:val="000000"/>
                <w:sz w:val="19"/>
              </w:rPr>
              <w:t>Fecha</w:t>
            </w:r>
          </w:p>
        </w:tc>
        <w:tc>
          <w:tcPr>
            <w:tcW w:type="dxa" w:w="6360"/>
            <w:shd w:fill="F2F4F7"/>
            <w:tcMar>
              <w:top w:w="80" w:type="dxa"/>
              <w:start w:w="120" w:type="dxa"/>
              <w:bottom w:w="80" w:type="dxa"/>
              <w:end w:w="120" w:type="dxa"/>
            </w:tcMar>
            <w:vAlign w:val="center"/>
          </w:tcPr>
          <w:p>
            <w:pPr>
              <w:spacing w:after="0"/>
            </w:pPr>
            <w:r>
              <w:rPr>
                <w:rFonts w:ascii="Calibri" w:hAnsi="Calibri"/>
                <w:b/>
                <w:i w:val="0"/>
                <w:color w:val="000000"/>
                <w:sz w:val="19"/>
              </w:rPr>
              <w:t>Contenido</w:t>
            </w:r>
          </w:p>
        </w:tc>
      </w:tr>
      <w:tr>
        <w:trPr>
          <w:cantSplit/>
        </w:trPr>
        <w:tc>
          <w:tcPr>
            <w:tcW w:type="dxa" w:w="1200"/>
            <w:tcMar>
              <w:top w:w="80" w:type="dxa"/>
              <w:start w:w="120" w:type="dxa"/>
              <w:bottom w:w="80" w:type="dxa"/>
              <w:end w:w="120" w:type="dxa"/>
            </w:tcMar>
            <w:vAlign w:val="center"/>
          </w:tcPr>
          <w:p>
            <w:pPr>
              <w:spacing w:after="0"/>
            </w:pPr>
            <w:r>
              <w:rPr>
                <w:rFonts w:ascii="Calibri" w:hAnsi="Calibri"/>
                <w:b w:val="0"/>
                <w:i w:val="0"/>
                <w:color w:val="000000"/>
                <w:sz w:val="18"/>
              </w:rPr>
              <w:t>1.0</w:t>
            </w:r>
          </w:p>
        </w:tc>
        <w:tc>
          <w:tcPr>
            <w:tcW w:type="dxa" w:w="1800"/>
            <w:tcMar>
              <w:top w:w="80" w:type="dxa"/>
              <w:start w:w="120" w:type="dxa"/>
              <w:bottom w:w="80" w:type="dxa"/>
              <w:end w:w="120" w:type="dxa"/>
            </w:tcMar>
            <w:vAlign w:val="center"/>
          </w:tcPr>
          <w:p>
            <w:pPr>
              <w:spacing w:after="0"/>
            </w:pPr>
            <w:r>
              <w:rPr>
                <w:rFonts w:ascii="Calibri" w:hAnsi="Calibri"/>
                <w:b w:val="0"/>
                <w:i w:val="0"/>
                <w:color w:val="000000"/>
                <w:sz w:val="18"/>
              </w:rPr>
              <w:t>05/08/2026</w:t>
            </w:r>
          </w:p>
        </w:tc>
        <w:tc>
          <w:tcPr>
            <w:tcW w:type="dxa" w:w="6360"/>
            <w:tcMar>
              <w:top w:w="80" w:type="dxa"/>
              <w:start w:w="120" w:type="dxa"/>
              <w:bottom w:w="80" w:type="dxa"/>
              <w:end w:w="120" w:type="dxa"/>
            </w:tcMar>
            <w:vAlign w:val="center"/>
          </w:tcPr>
          <w:p>
            <w:pPr>
              <w:spacing w:after="0"/>
            </w:pPr>
            <w:r>
              <w:rPr>
                <w:rFonts w:ascii="Calibri" w:hAnsi="Calibri"/>
                <w:b w:val="0"/>
                <w:i w:val="0"/>
                <w:color w:val="000000"/>
                <w:sz w:val="18"/>
              </w:rPr>
              <w:t>Versión preparada para la memoria científica final del proyecto.</w:t>
            </w:r>
          </w:p>
        </w:tc>
      </w:tr>
      <w:tr>
        <w:trPr>
          <w:cantSplit/>
        </w:trPr>
        <w:tc>
          <w:tcPr>
            <w:tcW w:type="dxa" w:w="1200"/>
            <w:tcMar>
              <w:top w:w="80" w:type="dxa"/>
              <w:start w:w="120" w:type="dxa"/>
              <w:bottom w:w="80" w:type="dxa"/>
              <w:end w:w="120" w:type="dxa"/>
            </w:tcMar>
            <w:vAlign w:val="center"/>
          </w:tcPr>
          <w:p>
            <w:pPr>
              <w:spacing w:after="0"/>
            </w:pPr>
            <w:r>
              <w:rPr>
                <w:rFonts w:ascii="Calibri" w:hAnsi="Calibri"/>
                <w:b w:val="0"/>
                <w:i w:val="0"/>
                <w:color w:val="000000"/>
                <w:sz w:val="18"/>
              </w:rPr>
              <w:t>1.1</w:t>
            </w:r>
          </w:p>
        </w:tc>
        <w:tc>
          <w:tcPr>
            <w:tcW w:type="dxa" w:w="1800"/>
            <w:tcMar>
              <w:top w:w="80" w:type="dxa"/>
              <w:start w:w="120" w:type="dxa"/>
              <w:bottom w:w="80" w:type="dxa"/>
              <w:end w:w="120" w:type="dxa"/>
            </w:tcMar>
            <w:vAlign w:val="center"/>
          </w:tcPr>
          <w:p>
            <w:pPr>
              <w:spacing w:after="0"/>
            </w:pPr>
            <w:r>
              <w:rPr>
                <w:rFonts w:ascii="Calibri" w:hAnsi="Calibri"/>
                <w:b w:val="0"/>
                <w:i w:val="0"/>
                <w:color w:val="000000"/>
                <w:sz w:val="18"/>
              </w:rPr>
              <w:t>13/09/2026</w:t>
            </w:r>
          </w:p>
        </w:tc>
        <w:tc>
          <w:tcPr>
            <w:tcW w:type="dxa" w:w="6360"/>
            <w:tcMar>
              <w:top w:w="80" w:type="dxa"/>
              <w:start w:w="120" w:type="dxa"/>
              <w:bottom w:w="80" w:type="dxa"/>
              <w:end w:w="120" w:type="dxa"/>
            </w:tcMar>
            <w:vAlign w:val="center"/>
          </w:tcPr>
          <w:p>
            <w:pPr>
              <w:spacing w:after="0"/>
            </w:pPr>
            <w:r>
              <w:rPr>
                <w:rFonts w:ascii="Calibri" w:hAnsi="Calibri"/>
                <w:b w:val="0"/>
                <w:i w:val="0"/>
                <w:color w:val="000000"/>
                <w:sz w:val="18"/>
              </w:rPr>
              <w:t>Actualización con la información facilitada por la Biblioteca de la UMH: depósito asistido en RediUMH, acceso abierto o restringido, asignación de handle, límite de 2 GB por archivo y documentación del depósito.</w:t>
            </w:r>
          </w:p>
        </w:tc>
      </w:tr>
      <w:tr>
        <w:trPr>
          <w:cantSplit/>
        </w:trPr>
        <w:tc>
          <w:tcPr>
            <w:tcW w:type="dxa" w:w="1200"/>
            <w:tcMar>
              <w:top w:w="80" w:type="dxa"/>
              <w:start w:w="120" w:type="dxa"/>
              <w:bottom w:w="80" w:type="dxa"/>
              <w:end w:w="120" w:type="dxa"/>
            </w:tcMar>
            <w:vAlign w:val="center"/>
          </w:tcPr>
          <w:p>
            <w:pPr>
              <w:spacing w:after="0"/>
            </w:pPr>
            <w:r>
              <w:rPr>
                <w:rFonts w:ascii="Calibri" w:hAnsi="Calibri"/>
                <w:b w:val="0"/>
                <w:i w:val="0"/>
                <w:color w:val="000000"/>
                <w:sz w:val="18"/>
              </w:rPr>
              <w:t>Próxima revisión</w:t>
            </w:r>
          </w:p>
        </w:tc>
        <w:tc>
          <w:tcPr>
            <w:tcW w:type="dxa" w:w="1800"/>
            <w:tcMar>
              <w:top w:w="80" w:type="dxa"/>
              <w:start w:w="120" w:type="dxa"/>
              <w:bottom w:w="80" w:type="dxa"/>
              <w:end w:w="120" w:type="dxa"/>
            </w:tcMar>
            <w:vAlign w:val="center"/>
          </w:tcPr>
          <w:p>
            <w:pPr>
              <w:spacing w:after="0"/>
            </w:pPr>
            <w:r>
              <w:rPr>
                <w:rFonts w:ascii="Calibri" w:hAnsi="Calibri"/>
                <w:b w:val="0"/>
                <w:i w:val="0"/>
                <w:color w:val="000000"/>
                <w:sz w:val="18"/>
              </w:rPr>
              <w:t>Al cierre funcional y antes de cada depósito de datos</w:t>
            </w:r>
          </w:p>
        </w:tc>
        <w:tc>
          <w:tcPr>
            <w:tcW w:type="dxa" w:w="6360"/>
            <w:tcMar>
              <w:top w:w="80" w:type="dxa"/>
              <w:start w:w="120" w:type="dxa"/>
              <w:bottom w:w="80" w:type="dxa"/>
              <w:end w:w="120" w:type="dxa"/>
            </w:tcMar>
            <w:vAlign w:val="center"/>
          </w:tcPr>
          <w:p>
            <w:pPr>
              <w:spacing w:after="0"/>
            </w:pPr>
            <w:r>
              <w:rPr>
                <w:rFonts w:ascii="Calibri" w:hAnsi="Calibri"/>
                <w:b w:val="0"/>
                <w:i w:val="0"/>
                <w:color w:val="000000"/>
                <w:sz w:val="18"/>
              </w:rPr>
              <w:t>Inventario final de conjuntos, resultados de AtT-20/ACTH, restricciones de acceso e identificadores persistentes efectivamente asignados.</w:t>
            </w:r>
          </w:p>
        </w:tc>
      </w:tr>
    </w:tbl>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666666"/>
        <w:sz w:val="18"/>
      </w:rPr>
      <w:t xml:space="preserve">Página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i w:val="0"/>
        <w:color w:val="666666"/>
        <w:sz w:val="18"/>
      </w:rPr>
      <w:t>PI21/01012  |  Plan de Gestión de Datos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Gestión de Datos del proyecto PI21/01012</dc:title>
  <dc:subject>Versión 1.1 actualizada para depósito asistido en RediUMH</dc:subject>
  <dc:creator>Antonio Miguel Picó Alfonso</dc:creator>
  <cp:keywords>PGD; FAIR; PI21/01012; ISABIAL; RediUMH</cp:keywords>
  <dc:description>generated by python-docx</dc:description>
  <cp:lastModifiedBy/>
  <cp:revision>1</cp:revision>
  <dcterms:created xsi:type="dcterms:W3CDTF">2013-12-23T23:15:00Z</dcterms:created>
  <dcterms:modified xsi:type="dcterms:W3CDTF">2013-12-23T23:15:00Z</dcterms:modified>
  <cp:category/>
</cp:coreProperties>
</file>